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253"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253"/>
      </w:tblGrid>
      <w:tr>
        <w:trPr>
          <w:trHeight w:val="346" w:hRule="atLeast"/>
        </w:trPr>
        <w:tc>
          <w:tcPr>
            <w:tcW w:w="102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t xml:space="preserve">Procedimento: </w:t>
            </w:r>
            <w:r>
              <w:rPr>
                <w:rFonts w:cs="Calibri" w:cstheme="minorHAnsi"/>
                <w:b w:val="false"/>
                <w:bCs w:val="false"/>
              </w:rPr>
              <w:t>Exerese de Pequenos Tumores de Pele e Mucosas</w:t>
            </w:r>
          </w:p>
        </w:tc>
      </w:tr>
    </w:tbl>
    <w:p>
      <w:pPr>
        <w:pStyle w:val="Normal"/>
        <w:tabs>
          <w:tab w:val="clear" w:pos="720"/>
          <w:tab w:val="left" w:pos="426" w:leader="none"/>
        </w:tabs>
        <w:spacing w:lineRule="auto" w:line="240" w:before="0" w:after="0"/>
        <w:ind w:left="426"/>
        <w:rPr/>
      </w:pPr>
      <w:r>
        <w:rPr/>
      </w:r>
    </w:p>
    <w:tbl>
      <w:tblPr>
        <w:tblW w:w="1020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79"/>
        <w:gridCol w:w="7920"/>
      </w:tblGrid>
      <w:tr>
        <w:trPr/>
        <w:tc>
          <w:tcPr>
            <w:tcW w:w="1019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79" w:type="dxa"/>
            <w:tcBorders>
              <w:left w:val="single" w:sz="4" w:space="0" w:color="000000"/>
            </w:tcBorders>
          </w:tcPr>
          <w:p>
            <w:pPr>
              <w:pStyle w:val="Normal"/>
              <w:spacing w:lineRule="auto" w:line="240" w:before="0" w:after="0"/>
              <w:ind w:left="39"/>
              <w:rPr/>
            </w:pPr>
            <w:r>
              <w:rPr>
                <w:lang w:eastAsia="en-US" w:bidi="ar-SA"/>
              </w:rPr>
              <w:t>Nome: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Data de Nascimento:</w:t>
            </w:r>
          </w:p>
        </w:tc>
        <w:tc>
          <w:tcPr>
            <w:tcW w:w="7920"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CPF/ME: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7920"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147"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397"/>
        <w:gridCol w:w="7749"/>
      </w:tblGrid>
      <w:tr>
        <w:trPr/>
        <w:tc>
          <w:tcPr>
            <w:tcW w:w="10146"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397" w:type="dxa"/>
            <w:tcBorders>
              <w:left w:val="single" w:sz="4" w:space="0" w:color="000000"/>
            </w:tcBorders>
          </w:tcPr>
          <w:p>
            <w:pPr>
              <w:pStyle w:val="Normal"/>
              <w:spacing w:lineRule="auto" w:line="240" w:before="0" w:after="0"/>
              <w:rPr/>
            </w:pPr>
            <w:r>
              <w:rPr>
                <w:lang w:eastAsia="en-US" w:bidi="ar-SA"/>
              </w:rPr>
              <w:t>Nome do Responsável:</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Endereço:</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Telefone: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CPF/ME: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74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rPr>
        <w:t xml:space="preserve"> Exerese de Pequenos Tumores de Pele e Mucosas </w:t>
      </w:r>
      <w:r>
        <w:rPr>
          <w:rFonts w:cs="Calibri" w:cstheme="minorHAnsi"/>
        </w:rPr>
        <w:t>(o “</w:t>
      </w:r>
      <w:r>
        <w:rPr>
          <w:rFonts w:cs="Calibri" w:cstheme="minorHAnsi"/>
          <w:u w:val="single"/>
        </w:rPr>
        <w:t>Procedimento</w:t>
      </w:r>
      <w:r>
        <w:rPr>
          <w:rFonts w:cs="Calibri" w:cstheme="minorHAnsi"/>
        </w:rPr>
        <w:t>”), a ser realizado nas instituições do Grupo Orizonti.</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b w:val="false"/>
          <w:bCs w:val="false"/>
        </w:rPr>
      </w:pPr>
      <w:r>
        <w:rPr>
          <w:rFonts w:eastAsia="Calibri" w:cs="Calibri" w:cstheme="minorHAnsi"/>
          <w:b w:val="false"/>
          <w:bCs w:val="false"/>
          <w:color w:val="000000"/>
          <w:kern w:val="0"/>
          <w:sz w:val="22"/>
          <w:szCs w:val="22"/>
          <w:lang w:val="pt-PT" w:eastAsia="en-US" w:bidi="ar-SA"/>
        </w:rPr>
        <w:t>Assim sendo, declaro que o Médico, atendendo ao que determinam os artigos 22 e 34 da Resolução CFM no. 1.931/09 (“</w:t>
      </w:r>
      <w:r>
        <w:rPr>
          <w:rFonts w:eastAsia="Calibri" w:cs="Calibri" w:cstheme="minorHAnsi"/>
          <w:b w:val="false"/>
          <w:bCs w:val="false"/>
          <w:color w:val="000000"/>
          <w:kern w:val="0"/>
          <w:sz w:val="22"/>
          <w:szCs w:val="22"/>
          <w:u w:val="single"/>
          <w:lang w:val="pt-PT" w:eastAsia="en-US" w:bidi="ar-SA"/>
        </w:rPr>
        <w:t>Código de Ética Médica</w:t>
      </w:r>
      <w:r>
        <w:rPr>
          <w:rFonts w:eastAsia="Calibri" w:cs="Calibri" w:cstheme="minorHAnsi"/>
          <w:b w:val="false"/>
          <w:bCs w:val="false"/>
          <w:color w:val="000000"/>
          <w:kern w:val="0"/>
          <w:sz w:val="22"/>
          <w:szCs w:val="22"/>
          <w:lang w:val="pt-PT" w:eastAsia="en-US"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BodyText"/>
        <w:widowControl/>
        <w:suppressAutoHyphens w:val="true"/>
        <w:bidi w:val="0"/>
        <w:spacing w:lineRule="auto" w:line="240" w:before="0" w:after="200"/>
        <w:ind w:hanging="0" w:left="-567" w:right="-227"/>
        <w:jc w:val="both"/>
        <w:rPr>
          <w:rFonts w:eastAsia="Calibri" w:cs="Calibri"/>
          <w:b/>
          <w:bCs/>
          <w:color w:val="000000"/>
          <w:kern w:val="0"/>
          <w:sz w:val="22"/>
          <w:szCs w:val="22"/>
          <w:lang w:val="pt-PT" w:eastAsia="en-US" w:bidi="ar-SA"/>
        </w:rPr>
      </w:pPr>
      <w:r>
        <w:rPr>
          <w:rFonts w:eastAsia="Calibri" w:cs="Calibri"/>
          <w:b/>
          <w:bCs/>
          <w:color w:val="000000"/>
          <w:kern w:val="0"/>
          <w:sz w:val="22"/>
          <w:szCs w:val="22"/>
          <w:lang w:val="pt-PT" w:eastAsia="en-US" w:bidi="ar-SA"/>
        </w:rPr>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DIAGNÓSTICO: L</w:t>
      </w:r>
      <w:r>
        <w:rPr>
          <w:rFonts w:eastAsia="Calibri" w:cs="Calibri"/>
          <w:b w:val="false"/>
          <w:bCs w:val="false"/>
          <w:color w:val="000000"/>
          <w:kern w:val="0"/>
          <w:sz w:val="22"/>
          <w:szCs w:val="22"/>
          <w:lang w:val="pt-PT" w:eastAsia="en-US" w:bidi="ar-SA"/>
        </w:rPr>
        <w:t xml:space="preserve">esão cutânea suspeita ou crescimento benigno </w:t>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DEFINIÇÃO DO PROCEDIMENTO: </w:t>
      </w:r>
      <w:r>
        <w:rPr>
          <w:rFonts w:eastAsia="Calibri" w:cs="Calibri"/>
          <w:b w:val="false"/>
          <w:bCs w:val="false"/>
          <w:color w:val="000000"/>
          <w:kern w:val="0"/>
          <w:sz w:val="22"/>
          <w:szCs w:val="22"/>
          <w:lang w:val="pt-PT" w:eastAsia="en-US" w:bidi="ar-SA"/>
        </w:rPr>
        <w:t>A Exerese de Lesões e Pequenos Tumores de Pele consiste na retirada cirúrgica de lesões de pele.</w:t>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TRATAMENTO ALTERNATIVO: </w:t>
      </w:r>
      <w:r>
        <w:rPr>
          <w:rFonts w:eastAsia="Calibri" w:cs="Calibri"/>
          <w:b w:val="false"/>
          <w:bCs w:val="false"/>
          <w:color w:val="000000"/>
          <w:kern w:val="0"/>
          <w:sz w:val="22"/>
          <w:szCs w:val="22"/>
          <w:lang w:val="pt-PT" w:eastAsia="en-US" w:bidi="ar-SA"/>
        </w:rPr>
        <w:t>NA</w:t>
      </w:r>
    </w:p>
    <w:p>
      <w:pPr>
        <w:pStyle w:val="BodyText"/>
        <w:widowControl/>
        <w:suppressAutoHyphens w:val="true"/>
        <w:bidi w:val="0"/>
        <w:spacing w:lineRule="auto" w:line="240" w:before="0" w:after="200"/>
        <w:ind w:hanging="0" w:left="-567" w:right="-227"/>
        <w:jc w:val="both"/>
        <w:rPr>
          <w:b/>
        </w:rPr>
      </w:pPr>
      <w:r>
        <w:rPr>
          <w:b/>
        </w:rPr>
      </w:r>
    </w:p>
    <w:p>
      <w:pPr>
        <w:pStyle w:val="BodyText"/>
        <w:widowControl/>
        <w:suppressAutoHyphens w:val="true"/>
        <w:bidi w:val="0"/>
        <w:spacing w:lineRule="auto" w:line="240" w:before="0" w:after="200"/>
        <w:ind w:hanging="0" w:left="-567" w:right="-227"/>
        <w:jc w:val="both"/>
        <w:rPr/>
      </w:pPr>
      <w:r>
        <w:rPr>
          <w:b/>
        </w:rPr>
        <w:t>RISCOS, COMPLICAÇÕES, CONTRAINDICAÇÃO:</w:t>
      </w:r>
    </w:p>
    <w:p>
      <w:pPr>
        <w:pStyle w:val="Normal"/>
        <w:numPr>
          <w:ilvl w:val="0"/>
          <w:numId w:val="1"/>
        </w:numPr>
        <w:spacing w:lineRule="auto" w:line="276" w:before="0" w:after="200"/>
        <w:rPr>
          <w:rFonts w:ascii="Calibri" w:hAnsi="Calibri"/>
          <w:sz w:val="22"/>
          <w:lang w:val="pt-BR"/>
        </w:rPr>
      </w:pPr>
      <w:r>
        <w:rPr>
          <w:sz w:val="22"/>
          <w:lang w:val="pt-BR"/>
        </w:rPr>
        <w:t xml:space="preserve"> </w:t>
      </w:r>
      <w:r>
        <w:rPr>
          <w:sz w:val="22"/>
          <w:lang w:val="pt-BR"/>
        </w:rPr>
        <w:t>Sangramento leve ou moderado no local do procedimento, podendo formar hematomas (acúmulo de sangue) ou equimoses (manchas roxas);</w:t>
      </w:r>
    </w:p>
    <w:p>
      <w:pPr>
        <w:pStyle w:val="Normal"/>
        <w:numPr>
          <w:ilvl w:val="0"/>
          <w:numId w:val="1"/>
        </w:numPr>
        <w:spacing w:lineRule="auto" w:line="276" w:before="0" w:after="200"/>
        <w:rPr>
          <w:rFonts w:ascii="Calibri" w:hAnsi="Calibri"/>
          <w:sz w:val="22"/>
          <w:lang w:val="pt-BR"/>
        </w:rPr>
      </w:pPr>
      <w:r>
        <w:rPr>
          <w:sz w:val="22"/>
          <w:lang w:val="pt-BR"/>
        </w:rPr>
        <w:t>Formação de cicatrizes, queloides ou alterações de pigmentação (hiper ou</w:t>
      </w:r>
    </w:p>
    <w:p>
      <w:pPr>
        <w:pStyle w:val="Normal"/>
        <w:numPr>
          <w:ilvl w:val="0"/>
          <w:numId w:val="1"/>
        </w:numPr>
        <w:spacing w:lineRule="auto" w:line="276" w:before="0" w:after="200"/>
        <w:rPr>
          <w:rFonts w:ascii="Calibri" w:hAnsi="Calibri"/>
          <w:sz w:val="22"/>
          <w:lang w:val="pt-BR"/>
        </w:rPr>
      </w:pPr>
      <w:r>
        <w:rPr>
          <w:sz w:val="22"/>
          <w:lang w:val="pt-BR"/>
        </w:rPr>
        <w:t>hipopigmentação).</w:t>
      </w:r>
    </w:p>
    <w:p>
      <w:pPr>
        <w:pStyle w:val="Normal"/>
        <w:numPr>
          <w:ilvl w:val="0"/>
          <w:numId w:val="1"/>
        </w:numPr>
        <w:spacing w:lineRule="auto" w:line="276" w:before="0" w:after="200"/>
        <w:rPr>
          <w:rFonts w:ascii="Calibri" w:hAnsi="Calibri"/>
          <w:sz w:val="22"/>
          <w:lang w:val="pt-BR"/>
        </w:rPr>
      </w:pPr>
      <w:r>
        <w:rPr>
          <w:sz w:val="22"/>
          <w:lang w:val="pt-BR"/>
        </w:rPr>
        <w:t>Sensação de dor ou desconforto durante ou após o procedimento.</w:t>
      </w:r>
    </w:p>
    <w:p>
      <w:pPr>
        <w:pStyle w:val="Normal"/>
        <w:numPr>
          <w:ilvl w:val="0"/>
          <w:numId w:val="1"/>
        </w:numPr>
        <w:spacing w:lineRule="auto" w:line="276" w:before="0" w:after="200"/>
        <w:rPr>
          <w:rFonts w:ascii="Calibri" w:hAnsi="Calibri"/>
          <w:sz w:val="22"/>
          <w:lang w:val="pt-BR"/>
        </w:rPr>
      </w:pPr>
      <w:r>
        <w:rPr>
          <w:sz w:val="22"/>
          <w:lang w:val="pt-BR"/>
        </w:rPr>
        <w:t>Risco de falha no diagnóstico em casos de biópsias insuficientes com necessidade de reabordagem cirúrgica e/ou ampliação de margens cirúrgicas.</w:t>
      </w:r>
    </w:p>
    <w:p>
      <w:pPr>
        <w:pStyle w:val="Normal"/>
        <w:numPr>
          <w:ilvl w:val="0"/>
          <w:numId w:val="1"/>
        </w:numPr>
        <w:spacing w:lineRule="auto" w:line="276" w:before="0" w:after="200"/>
        <w:rPr>
          <w:rFonts w:ascii="Calibri" w:hAnsi="Calibri"/>
          <w:sz w:val="22"/>
          <w:lang w:val="pt-BR"/>
        </w:rPr>
      </w:pPr>
      <w:r>
        <w:rPr>
          <w:sz w:val="22"/>
          <w:lang w:val="pt-BR"/>
        </w:rPr>
        <w:t>Efeitos adversos ou reações alérgicas aos anestésicos locais.</w:t>
      </w:r>
    </w:p>
    <w:p>
      <w:pPr>
        <w:pStyle w:val="Normal"/>
        <w:numPr>
          <w:ilvl w:val="0"/>
          <w:numId w:val="1"/>
        </w:numPr>
        <w:spacing w:lineRule="auto" w:line="276" w:before="0" w:after="200"/>
        <w:rPr>
          <w:rFonts w:ascii="Calibri" w:hAnsi="Calibri"/>
          <w:sz w:val="22"/>
          <w:lang w:val="pt-BR"/>
        </w:rPr>
      </w:pPr>
      <w:r>
        <w:rPr>
          <w:sz w:val="22"/>
          <w:lang w:val="pt-BR"/>
        </w:rPr>
        <w:t>Infecção do sítio cirúrgico: Mesmo tomando-se todas as medidas possíveis para a prevenção de infecções, tanto por parte do cirurgião e equipe, quanto por parte do serviço, esse risco existe e deve sempre ser considerado. De acordo com a Agência nacional de Vigilância sanitária (ANVISA), as taxas aceitáveis de infecção para cada potencial de contaminação cirúrgica são:</w:t>
      </w:r>
    </w:p>
    <w:p>
      <w:pPr>
        <w:pStyle w:val="Normal"/>
        <w:numPr>
          <w:ilvl w:val="0"/>
          <w:numId w:val="0"/>
        </w:numPr>
        <w:spacing w:lineRule="auto" w:line="276" w:before="0" w:after="200"/>
        <w:ind w:hanging="0" w:left="709"/>
        <w:rPr>
          <w:rFonts w:ascii="Calibri" w:hAnsi="Calibri"/>
          <w:sz w:val="22"/>
          <w:lang w:val="pt-BR"/>
        </w:rPr>
      </w:pPr>
      <w:r>
        <w:rPr>
          <w:sz w:val="22"/>
          <w:lang w:val="pt-BR"/>
        </w:rPr>
        <w:t xml:space="preserve">• </w:t>
      </w:r>
      <w:r>
        <w:rPr>
          <w:sz w:val="22"/>
          <w:lang w:val="pt-BR"/>
        </w:rPr>
        <w:t xml:space="preserve">Cirurgias limpas: até 4%  </w:t>
      </w:r>
    </w:p>
    <w:p>
      <w:pPr>
        <w:pStyle w:val="Normal"/>
        <w:numPr>
          <w:ilvl w:val="0"/>
          <w:numId w:val="0"/>
        </w:numPr>
        <w:spacing w:lineRule="auto" w:line="276" w:before="0" w:after="200"/>
        <w:ind w:hanging="0" w:left="709"/>
        <w:rPr>
          <w:rFonts w:ascii="Calibri" w:hAnsi="Calibri"/>
          <w:sz w:val="22"/>
          <w:lang w:val="pt-BR"/>
        </w:rPr>
      </w:pPr>
      <w:r>
        <w:rPr>
          <w:sz w:val="22"/>
          <w:lang w:val="pt-BR"/>
        </w:rPr>
        <w:t xml:space="preserve">• </w:t>
      </w:r>
      <w:r>
        <w:rPr>
          <w:sz w:val="22"/>
          <w:lang w:val="pt-BR"/>
        </w:rPr>
        <w:t xml:space="preserve">Cirurgias potencialmente contaminadas: até 10% </w:t>
      </w:r>
    </w:p>
    <w:p>
      <w:pPr>
        <w:pStyle w:val="Normal"/>
        <w:numPr>
          <w:ilvl w:val="0"/>
          <w:numId w:val="0"/>
        </w:numPr>
        <w:spacing w:lineRule="auto" w:line="276" w:before="0" w:after="200"/>
        <w:ind w:hanging="0" w:left="709"/>
        <w:rPr>
          <w:rFonts w:ascii="Calibri" w:hAnsi="Calibri"/>
          <w:sz w:val="22"/>
          <w:lang w:val="pt-BR"/>
        </w:rPr>
      </w:pPr>
      <w:r>
        <w:rPr>
          <w:sz w:val="22"/>
          <w:lang w:val="pt-BR"/>
        </w:rPr>
        <w:t xml:space="preserve">• </w:t>
      </w:r>
      <w:r>
        <w:rPr>
          <w:sz w:val="22"/>
          <w:lang w:val="pt-BR"/>
        </w:rPr>
        <w:t>Cirurgias contaminadas: até 17%</w:t>
      </w:r>
    </w:p>
    <w:p>
      <w:pPr>
        <w:pStyle w:val="BodyText"/>
        <w:rPr>
          <w:b/>
          <w:bCs/>
        </w:rPr>
      </w:pPr>
      <w:r>
        <w:rPr>
          <w:b/>
          <w:bCs/>
        </w:rPr>
        <w:t>BENEFÍCIOS:</w:t>
      </w:r>
    </w:p>
    <w:p>
      <w:pPr>
        <w:pStyle w:val="Normal"/>
        <w:numPr>
          <w:ilvl w:val="0"/>
          <w:numId w:val="2"/>
        </w:numPr>
        <w:spacing w:lineRule="auto" w:line="276" w:before="0" w:after="200"/>
        <w:rPr/>
      </w:pPr>
      <w:r>
        <w:rPr>
          <w:sz w:val="22"/>
          <w:lang w:val="pt-BR"/>
        </w:rPr>
        <w:t>Diagnóstico preciso de condições suspeitas.</w:t>
      </w:r>
    </w:p>
    <w:p>
      <w:pPr>
        <w:pStyle w:val="Normal"/>
        <w:numPr>
          <w:ilvl w:val="0"/>
          <w:numId w:val="2"/>
        </w:numPr>
        <w:spacing w:lineRule="auto" w:line="276" w:before="0" w:after="200"/>
        <w:rPr/>
      </w:pPr>
      <w:r>
        <w:rPr>
          <w:sz w:val="22"/>
          <w:lang w:val="pt-BR"/>
        </w:rPr>
        <w:t>Tratamento eficaz de lesões benignas, prevenindo crescimento ou evolução.</w:t>
      </w:r>
    </w:p>
    <w:p>
      <w:pPr>
        <w:pStyle w:val="Normal"/>
        <w:numPr>
          <w:ilvl w:val="0"/>
          <w:numId w:val="2"/>
        </w:numPr>
        <w:spacing w:lineRule="auto" w:line="276" w:before="0" w:after="200"/>
        <w:rPr/>
      </w:pPr>
      <w:r>
        <w:rPr>
          <w:sz w:val="22"/>
          <w:lang w:val="pt-BR"/>
        </w:rPr>
        <w:t>Redução de sintomas, como dor ou desconforto estético.</w:t>
      </w:r>
    </w:p>
    <w:p>
      <w:pPr>
        <w:pStyle w:val="Normal"/>
        <w:numPr>
          <w:ilvl w:val="0"/>
          <w:numId w:val="2"/>
        </w:numPr>
        <w:spacing w:lineRule="auto" w:line="276" w:before="0" w:after="200"/>
        <w:rPr>
          <w:rFonts w:ascii="Calibri" w:hAnsi="Calibri"/>
          <w:sz w:val="22"/>
          <w:lang w:val="pt-BR"/>
        </w:rPr>
      </w:pPr>
      <w:r>
        <w:rPr>
          <w:sz w:val="22"/>
          <w:lang w:val="pt-BR"/>
        </w:rPr>
        <w:t>Procedimentos geralmente rápidos e minimamente invasivos, com recuperação rápida.</w:t>
      </w:r>
    </w:p>
    <w:p>
      <w:pPr>
        <w:pStyle w:val="BodyText"/>
        <w:rPr/>
      </w:pPr>
      <w:r>
        <w:rPr/>
      </w:r>
    </w:p>
    <w:p>
      <w:pPr>
        <w:pStyle w:val="BodyText"/>
        <w:rPr/>
      </w:pPr>
      <w:r>
        <w:rPr/>
        <w:t>Estou ciente de que a lista de riscos e complicações desse formulário pode não incluir todos os riscos conhecidos ou possíveis de acontecer neste procedimento, mas são os riscos mais comuns. Reconheço que novos riscos podem existir ou podem aparecer no futuro, que não foram informados neste formulário de consentimento. Caso ocorra alguma intercorrência decorrente do procedimento, todas as providências necessárias serão tomadas pela equipe médica do Hospital.</w:t>
      </w:r>
    </w:p>
    <w:p>
      <w:pPr>
        <w:pStyle w:val="BodyText"/>
        <w:rPr/>
      </w:pPr>
      <w:r>
        <w:rPr/>
      </w:r>
    </w:p>
    <w:p>
      <w:pPr>
        <w:pStyle w:val="BodyText"/>
        <w:rPr/>
      </w:pPr>
      <w:r>
        <w:rPr/>
        <w:t>Declaro, adicionalmente, que:</w:t>
      </w:r>
    </w:p>
    <w:p>
      <w:pPr>
        <w:pStyle w:val="BodyText"/>
        <w:rPr/>
      </w:pPr>
      <w:r>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BodyText"/>
        <w:rPr/>
      </w:pPr>
      <w:r>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BodyText"/>
        <w:rPr/>
      </w:pPr>
      <w:r>
        <w:rPr/>
        <w:t>3. Assim, declaro também estar ciente de que o Procedimento não implica necessariamente na cura, e que a evolução da doença e o tratamento poderão eventualmente modificar condutas inicialmente propostas.</w:t>
      </w:r>
    </w:p>
    <w:p>
      <w:pPr>
        <w:pStyle w:val="BodyText"/>
        <w:rPr/>
      </w:pPr>
      <w:r>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BodyText"/>
        <w:rPr/>
      </w:pPr>
      <w:r>
        <w:rPr/>
        <w:t>5.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BodyText"/>
        <w:rPr/>
      </w:pPr>
      <w:r>
        <w:rPr/>
        <w:t>6. Os registros fotográficos da pele ou lesões, caso ocorram, são autorizados e ficarão limitados aos profissionais de saúde do Instituto Orizonti.</w:t>
      </w:r>
    </w:p>
    <w:p>
      <w:pPr>
        <w:pStyle w:val="BodyText"/>
        <w:rPr/>
      </w:pPr>
      <w:r>
        <w:rPr/>
        <w:t>7. Autorizo que qualquer tecido seja removido cirurgicamente e que seja encaminhado para exames complementares, desde que necessário para o esclarecimento diagnóstico ou tratamento.</w:t>
      </w:r>
    </w:p>
    <w:p>
      <w:pPr>
        <w:pStyle w:val="BodyText"/>
        <w:rPr/>
      </w:pPr>
      <w:r>
        <w:rPr/>
        <w:t>8. Autorizo a divulgação das informações médicas contidas em meu prontuário, exclusivamente para finalidade científica da Instituição, desde que minha identidade permaneça anônima.</w:t>
      </w:r>
    </w:p>
    <w:p>
      <w:pPr>
        <w:pStyle w:val="BodyText"/>
        <w:rPr/>
      </w:pPr>
      <w:r>
        <w:rPr/>
        <w:t>9. Autorizo a realização de filmagens/fotografias e, caso necessário, a veiculação das referidas imagens para fins científicos. Estou ciente também, que tais procedimentos serão realizados por profissionais indicados pelo(a) meu(minha) médico(a)/cirurgião(ã), sem qualquer ônus financeiro, presente ou futuro, assegurando o pleno sigilo de minha identidade.</w:t>
      </w:r>
    </w:p>
    <w:p>
      <w:pPr>
        <w:pStyle w:val="BodyText"/>
        <w:rPr/>
      </w:pPr>
      <w:r>
        <w:rPr/>
      </w:r>
    </w:p>
    <w:p>
      <w:pPr>
        <w:pStyle w:val="BodyText"/>
        <w:rPr/>
      </w:pPr>
      <w:r>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w:t>
      </w:r>
    </w:p>
    <w:p>
      <w:pPr>
        <w:pStyle w:val="BodyText"/>
        <w:rPr/>
      </w:pPr>
      <w:r>
        <w:rPr/>
      </w:r>
    </w:p>
    <w:p>
      <w:pPr>
        <w:pStyle w:val="BodyText"/>
        <w:rPr/>
      </w:pPr>
      <w:r>
        <w:rPr>
          <w:color w:val="000000"/>
        </w:rPr>
        <w:t xml:space="preserve">Pleno deste entendimento, </w:t>
      </w:r>
      <w:r>
        <w:rPr>
          <w:b/>
          <w:color w:val="000000"/>
        </w:rPr>
        <w:t>autorizo a realização do Procedimento proposto e dos demais procedimentos aqui estabelecido.</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name w:val="Standard"/>
    <w:qFormat/>
    <w:pPr>
      <w:widowControl w:val="false"/>
      <w:suppressAutoHyphens w:val="true"/>
      <w:bidi w:val="0"/>
      <w:spacing w:lineRule="auto" w:line="240" w:before="0" w:after="0"/>
      <w:jc w:val="left"/>
    </w:pPr>
    <w:rPr>
      <w:rFonts w:ascii="Times New Roman" w:hAnsi="Times New Roman" w:eastAsia="Arial Unicode MS" w:cs="Tahoma"/>
      <w:color w:val="auto"/>
      <w:kern w:val="2"/>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c577d405fa076b0d82dd1a7374c874d3">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3997a9b9748a26cfd75b199c88702e"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DDB57492-CFB1-447F-8C5C-0889BBB6EC66}"/>
</file>

<file path=docProps/app.xml><?xml version="1.0" encoding="utf-8"?>
<Properties xmlns="http://schemas.openxmlformats.org/officeDocument/2006/extended-properties" xmlns:vt="http://schemas.openxmlformats.org/officeDocument/2006/docPropsVTypes">
  <Template>Normal.dotm</Template>
  <TotalTime>32</TotalTime>
  <Application>LibreOffice/7.6.2.1$Windows_X86_64 LibreOffice_project/56f7684011345957bbf33a7ee678afaf4d2ba333</Application>
  <AppVersion>15.0000</AppVersion>
  <Pages>3</Pages>
  <Words>1004</Words>
  <Characters>6847</Characters>
  <CharactersWithSpaces>7781</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2025-04-04T15:37:58Z</dcterms:modified>
  <cp:revision>92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