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Cantoplastia Ungueal</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rPr>
        <w:t xml:space="preserve"> Cantoplastia Ungueal </w:t>
      </w:r>
      <w:r>
        <w:rPr>
          <w:rFonts w:cs="Calibri" w:cstheme="minorHAnsi"/>
        </w:rPr>
        <w:t>(o “</w:t>
      </w:r>
      <w:r>
        <w:rPr>
          <w:rFonts w:cs="Calibri" w:cstheme="minorHAnsi"/>
          <w:u w:val="single"/>
        </w:rPr>
        <w:t>Procedimento</w:t>
      </w:r>
      <w:r>
        <w:rPr>
          <w:rFonts w:cs="Calibri" w:cstheme="minorHAnsi"/>
        </w:rPr>
        <w:t>”), a ser realizado em uma das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b w:val="false"/>
          <w:bCs w:val="false"/>
        </w:rPr>
      </w:pPr>
      <w:r>
        <w:rPr>
          <w:b w:val="false"/>
          <w:bCs w:val="false"/>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DIAGNÓSTICO: </w:t>
      </w:r>
      <w:r>
        <w:rPr>
          <w:rFonts w:eastAsia="Calibri" w:cs="Calibri"/>
          <w:b/>
          <w:bCs/>
          <w:color w:val="000000"/>
          <w:kern w:val="0"/>
          <w:sz w:val="22"/>
          <w:szCs w:val="22"/>
          <w:lang w:val="pt-PT" w:eastAsia="en-US" w:bidi="ar-SA"/>
        </w:rPr>
        <w:t>O</w:t>
      </w:r>
      <w:r>
        <w:rPr>
          <w:rFonts w:eastAsia="Calibri" w:cs="Calibri"/>
          <w:b w:val="false"/>
          <w:bCs w:val="false"/>
          <w:color w:val="000000"/>
          <w:kern w:val="0"/>
          <w:sz w:val="22"/>
          <w:szCs w:val="22"/>
          <w:lang w:val="pt-PT" w:eastAsia="en-US" w:bidi="ar-SA"/>
        </w:rPr>
        <w:t>nicocriptose (unha encravada), inflamação crônica periungueal, granuloma piogênico</w:t>
      </w:r>
      <w:r>
        <w:rPr>
          <w:rFonts w:eastAsia="Calibri" w:cs="Calibri"/>
          <w:b/>
          <w:bCs/>
          <w:color w:val="000000"/>
          <w:kern w:val="0"/>
          <w:sz w:val="22"/>
          <w:szCs w:val="22"/>
          <w:lang w:val="pt-PT" w:eastAsia="en-US" w:bidi="ar-SA"/>
        </w:rPr>
        <w:t xml:space="preserve"> </w:t>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DEFINIÇÃO DO PROCEDIMENTO: </w:t>
      </w:r>
      <w:r>
        <w:rPr>
          <w:rFonts w:eastAsia="Calibri" w:cs="Calibri"/>
          <w:b w:val="false"/>
          <w:bCs w:val="false"/>
          <w:color w:val="000000"/>
          <w:kern w:val="0"/>
          <w:sz w:val="22"/>
          <w:szCs w:val="22"/>
          <w:lang w:val="pt-PT" w:eastAsia="en-US" w:bidi="ar-SA"/>
        </w:rPr>
        <w:t>Consiste na remoção de parte da unha encravada (onicocriptose) ou tratamento de infecção local, com drenagem de coleções, realizada sob anestesia local.</w:t>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 ALTERNATIVO: </w:t>
      </w:r>
      <w:r>
        <w:rPr>
          <w:rFonts w:eastAsia="Calibri" w:cs="Calibri"/>
          <w:b w:val="false"/>
          <w:bCs w:val="false"/>
          <w:color w:val="000000"/>
          <w:kern w:val="0"/>
          <w:sz w:val="22"/>
          <w:szCs w:val="22"/>
          <w:lang w:val="pt-PT" w:eastAsia="en-US" w:bidi="ar-SA"/>
        </w:rPr>
        <w:t>NA</w:t>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BodyText"/>
        <w:numPr>
          <w:ilvl w:val="0"/>
          <w:numId w:val="1"/>
        </w:numPr>
        <w:tabs>
          <w:tab w:val="clear" w:pos="720"/>
          <w:tab w:val="left" w:pos="0" w:leader="none"/>
        </w:tabs>
        <w:ind w:hanging="283" w:left="709"/>
        <w:rPr/>
      </w:pPr>
      <w:r>
        <w:rPr/>
        <w:t>Reação a anestesia local;</w:t>
      </w:r>
    </w:p>
    <w:p>
      <w:pPr>
        <w:pStyle w:val="BodyText"/>
        <w:numPr>
          <w:ilvl w:val="0"/>
          <w:numId w:val="1"/>
        </w:numPr>
        <w:tabs>
          <w:tab w:val="clear" w:pos="720"/>
          <w:tab w:val="left" w:pos="0" w:leader="none"/>
        </w:tabs>
        <w:ind w:hanging="283" w:left="709"/>
        <w:rPr/>
      </w:pPr>
      <w:r>
        <w:rPr/>
        <w:t>Deiscência da sutura (os pontos podem se soltar);</w:t>
      </w:r>
    </w:p>
    <w:p>
      <w:pPr>
        <w:pStyle w:val="BodyText"/>
        <w:numPr>
          <w:ilvl w:val="0"/>
          <w:numId w:val="1"/>
        </w:numPr>
        <w:tabs>
          <w:tab w:val="clear" w:pos="720"/>
          <w:tab w:val="left" w:pos="0" w:leader="none"/>
        </w:tabs>
        <w:ind w:hanging="283" w:left="709"/>
        <w:rPr/>
      </w:pPr>
      <w:r>
        <w:rPr/>
        <w:t>Infecção local requerendo tratamento clínico ou cirúrgico;</w:t>
      </w:r>
    </w:p>
    <w:p>
      <w:pPr>
        <w:pStyle w:val="BodyText"/>
        <w:numPr>
          <w:ilvl w:val="0"/>
          <w:numId w:val="1"/>
        </w:numPr>
        <w:tabs>
          <w:tab w:val="clear" w:pos="720"/>
          <w:tab w:val="left" w:pos="0" w:leader="none"/>
        </w:tabs>
        <w:ind w:hanging="283" w:left="709"/>
        <w:rPr/>
      </w:pPr>
      <w:r>
        <w:rPr/>
        <w:t>Edemas e hematoma;</w:t>
      </w:r>
    </w:p>
    <w:p>
      <w:pPr>
        <w:pStyle w:val="BodyText"/>
        <w:numPr>
          <w:ilvl w:val="0"/>
          <w:numId w:val="1"/>
        </w:numPr>
        <w:tabs>
          <w:tab w:val="clear" w:pos="720"/>
          <w:tab w:val="left" w:pos="0" w:leader="none"/>
        </w:tabs>
        <w:ind w:hanging="283" w:left="709"/>
        <w:rPr/>
      </w:pPr>
      <w:r>
        <w:rPr/>
        <w:t>Dor e sangramentos;</w:t>
      </w:r>
    </w:p>
    <w:p>
      <w:pPr>
        <w:pStyle w:val="BodyText"/>
        <w:numPr>
          <w:ilvl w:val="0"/>
          <w:numId w:val="1"/>
        </w:numPr>
        <w:tabs>
          <w:tab w:val="clear" w:pos="720"/>
          <w:tab w:val="left" w:pos="0" w:leader="none"/>
        </w:tabs>
        <w:ind w:hanging="283" w:left="709"/>
        <w:rPr/>
      </w:pPr>
      <w:r>
        <w:rPr/>
        <w:t>Formação de bolhas, “feridinhas”, crostas (“casquinhas”) escuras;</w:t>
      </w:r>
    </w:p>
    <w:p>
      <w:pPr>
        <w:pStyle w:val="BodyText"/>
        <w:numPr>
          <w:ilvl w:val="0"/>
          <w:numId w:val="1"/>
        </w:numPr>
        <w:tabs>
          <w:tab w:val="clear" w:pos="720"/>
          <w:tab w:val="left" w:pos="0" w:leader="none"/>
        </w:tabs>
        <w:ind w:hanging="283" w:left="709"/>
        <w:rPr/>
      </w:pPr>
      <w:r>
        <w:rPr/>
        <w:t>Possibilidade de cicatrizes inestéticas (cicatrizes feias), cicatrizes queloides (cicatrizes altas), cicatrizes atróficas deprimidas (cicatrizes fundas) e alteração de cor no local da cicatriz.</w:t>
      </w:r>
    </w:p>
    <w:p>
      <w:pPr>
        <w:pStyle w:val="BodyText"/>
        <w:rPr/>
      </w:pPr>
      <w:r>
        <w:rPr/>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28</TotalTime>
  <Application>LibreOffice/7.6.2.1$Windows_X86_64 LibreOffice_project/56f7684011345957bbf33a7ee678afaf4d2ba333</Application>
  <AppVersion>15.0000</AppVersion>
  <Pages>4</Pages>
  <Words>880</Words>
  <Characters>6210</Characters>
  <CharactersWithSpaces>7028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2025-04-04T15:34:43Z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