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Cirurgia Ortognática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  <w:sz w:val="22"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ind w:left="426" w:right="-42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/>
      </w:pPr>
      <w:r>
        <w:rPr/>
        <w:t>Por este instrumento particular, o Paciente, ou o seu Responsável, declara para todos os fins de direito que, em especial para fins do disposto nos artigos 6º, III e 39, VI, ambos da Lei 8.078/90 (“</w:t>
      </w:r>
      <w:r>
        <w:rPr>
          <w:u w:val="single"/>
        </w:rPr>
        <w:t>Código de Defesa do Consumidor</w:t>
      </w:r>
      <w:r>
        <w:rPr/>
        <w:t>” ou “</w:t>
      </w:r>
      <w:r>
        <w:rPr>
          <w:u w:val="single"/>
        </w:rPr>
        <w:t>CDC</w:t>
      </w:r>
      <w:r>
        <w:rPr/>
        <w:t xml:space="preserve">”), </w:t>
      </w:r>
      <w:r>
        <w:rPr>
          <w:b/>
          <w:bCs/>
        </w:rPr>
        <w:t>que, sem qualquer vício de vontade ou consentimento, dá total autorização</w:t>
      </w:r>
      <w:r>
        <w:rPr/>
        <w:t xml:space="preserve"> ao médico para proceder às investigações necessárias ao diagnóstico do seu estado de saúde, bem como executar o Procedimento Cirúrgico designado </w:t>
      </w:r>
      <w:r>
        <w:rPr>
          <w:b/>
          <w:bCs/>
        </w:rPr>
        <w:t>Cirurgia Ortognática</w:t>
      </w:r>
      <w:r>
        <w:rPr/>
        <w:t xml:space="preserve"> (o “</w:t>
      </w:r>
      <w:r>
        <w:rPr>
          <w:u w:val="single"/>
        </w:rPr>
        <w:t>Procedimento</w:t>
      </w:r>
      <w:r>
        <w:rPr/>
        <w:t xml:space="preserve">”), a ser realizado no </w:t>
      </w:r>
      <w:r>
        <w:rPr/>
        <w:t>Hospital</w:t>
      </w:r>
      <w:r>
        <w:rPr/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left="-567" w:right="-568"/>
        <w:jc w:val="both"/>
        <w:rPr>
          <w:rFonts w:ascii="Calibri" w:hAnsi="Calibri" w:eastAsia="Calibri" w:cs="Calibri"/>
        </w:rPr>
      </w:pPr>
      <w:r>
        <w:rPr>
          <w:b/>
          <w:bCs/>
        </w:rPr>
        <w:t>DIAGNÓSTICO</w:t>
      </w:r>
      <w:r>
        <w:rPr>
          <w:rFonts w:cs="Calibri" w:cstheme="minorHAnsi"/>
        </w:rPr>
        <w:t>: Correção de deformidades dentofaciais, incluindo problemas de mordida e alinhamento dos maxilares. O objetivo principal desta cirurgia é melhorar a função mastigatória, respiratória, fala e em alguns casos, a estética facial.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b/>
          <w:bCs/>
        </w:rPr>
        <w:t>DEFINIÇÃO DO PROCEDIMENTO</w:t>
      </w:r>
      <w:r>
        <w:rPr/>
        <w:t xml:space="preserve">: A cirurgia é feita em ambiente hospitalar sob </w:t>
      </w:r>
      <w:hyperlink r:id="rId2">
        <w:r>
          <w:rPr/>
          <w:t>anestesia</w:t>
        </w:r>
      </w:hyperlink>
      <w:r>
        <w:rPr/>
        <w:t xml:space="preserve"> geral. Nela, são </w:t>
      </w:r>
      <w:bookmarkStart w:id="0" w:name="_Int_4TuBCCWY"/>
      <w:r>
        <w:rPr/>
        <w:t>utilizadas</w:t>
      </w:r>
      <w:bookmarkEnd w:id="0"/>
      <w:r>
        <w:rPr/>
        <w:t xml:space="preserve"> serras, parafusos e placas de titânio para realinhar as estruturas da mandíbula e da maxila. O procedimento é todo realizado dentro da boca, sem cicatrizes visíveis.</w:t>
      </w:r>
    </w:p>
    <w:p>
      <w:pPr>
        <w:pStyle w:val="Normal"/>
        <w:spacing w:lineRule="auto" w:line="240"/>
        <w:ind w:left="-567" w:right="-568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ind w:left="-567" w:right="-568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ind w:left="-567" w:right="-568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ind w:left="-567" w:right="-568"/>
        <w:rPr>
          <w:b/>
          <w:bCs/>
        </w:rPr>
      </w:pPr>
      <w:r>
        <w:rPr>
          <w:b/>
          <w:bCs/>
        </w:rPr>
        <w:t xml:space="preserve">RISCOS, COMPLICAÇÕES, BENEFÍCIOS: </w:t>
      </w:r>
    </w:p>
    <w:p>
      <w:pPr>
        <w:pStyle w:val="Normal"/>
        <w:spacing w:lineRule="auto" w:line="240"/>
        <w:ind w:left="-567" w:right="-568"/>
        <w:jc w:val="both"/>
        <w:rPr/>
      </w:pPr>
      <w:r>
        <w:rPr/>
        <w:t>- Fui orientado (a) que durante o período de recuperação pós-operatória, em certas situações, pode haver a necessidade de bloqueio inter-maxilar (‘’amarrar os dentes’’) para correção de mordida.</w:t>
      </w:r>
    </w:p>
    <w:p>
      <w:pPr>
        <w:pStyle w:val="Normal"/>
        <w:spacing w:lineRule="auto" w:line="240"/>
        <w:ind w:left="-567" w:right="-568"/>
        <w:jc w:val="both"/>
        <w:rPr/>
      </w:pPr>
      <w:r>
        <w:rPr/>
        <w:t>- É importante ressaltar que podem ocorrer alterações sensoriais inevitáveis, conhecidas como parestesias, em algumas regiões da face após o procedimento, especialmente no lábio inferior, queixo, lábio superior, língua, gengiva superior e inferior. Geralmente, essas alterações são reversíveis e podem levar até um ano para se recuperarem completamente. Estou ciente de que, em alguns casos, tais alterações podem persistir de forma permanente, e reconheço que essa condição é uma característica inerente à anatomia humana, estando além do controle do meu cirurgião.</w:t>
      </w:r>
    </w:p>
    <w:p>
      <w:pPr>
        <w:pStyle w:val="Normal"/>
        <w:spacing w:lineRule="auto" w:line="240"/>
        <w:ind w:left="-567" w:right="-568"/>
        <w:jc w:val="both"/>
        <w:rPr/>
      </w:pPr>
      <w:r>
        <w:rPr/>
        <w:t>Além disso, o procedimento pode apresentar as seguintes complicações: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Risco de parestesia temporária ou definitiva da pele da face;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Infecções nas feridas cirúrgicas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 xml:space="preserve">Lesão nervosa de caráter permanente ou transitório, tendo como consequência a permanência de alterações de sensibilidade local (parestesia) nos lábios, queixo, gengiva superior e inferior, palato (céu da boca) e língua.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Edema (inchaço), dor local e sensação de desconforto pós-operatória;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Cicatrizes locais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Hematomas em face e pescoço;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Necessidade de novas cirurgias para correção de assimetrias residuais, portanto uma segunda cirurgia.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Necessidade de correção de septo nasal e possibilidade de alargamento nasal, ou seja, RINOPLASTIA – não estando inclusa nesse procedimento cirúrgico proposto acima;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Necrose dentaria exigindo tratamento endodôntico (tratamento de canal);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Necrose de maxilar por falta de suprimento sanguíneo (muito raro);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Vomito sanguinolento no pós-operatório imediato (condição causada pela deglutição de sangue durante o procedimento);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Dificuldade de deglutição com incomodo na garganta nos primeiros dias;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Ortodontia pós-operatória ficando de responsabilidade do ortodontista responsável, sendo o paciente responsável por essa questão;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Visitas periódicas ao cirurgião no pós-operatório durante 5 anos;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Obstrução nasal no pós-operatório;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 xml:space="preserve">O paciente não poderá permanecer muito tempo deitado pois existe o risco de trombose;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Possibilidade de aparecimento de sintomas (estalos ou dor) em articulações temporomandibulares (ATM) com eventual necessidade de tratamento específico por especialistas em DTM (disfunção temporomandibular)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Cirurgia ortognática não trata problemas de ATM (estalos, dor nas articulações) podendo ser necessário tratamentos complementares para a disfunção de ATM;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Necessidade de internação hospitalar por período médio de 2 dias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Alteração estética do nariz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Alteração da estética facial atual, compatível com a devolução da proporção esquelética da face. Não há como antecipar esse resultado por meio de exames ou imagens e, embora a maioria das pessoas operadas de cirurgia ortognática sintam-se satisfeitas com o resultado relativo à estética, esse sentimento pode ocasionalmente não ocorrer e o(a) paciente ter interesse em fazer complementações de caráter estético num futuro, procedimentos esses que não fazem parte integrante da cirurgia ortognática;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Necessidade de acompanhamento pós-operatório com Fonoaudiologia e eventualmente Fisioterapia, a ser iniciado de acordo com orientação do cirurgião;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ind w:hanging="340" w:left="-283" w:right="0"/>
        <w:jc w:val="left"/>
        <w:rPr/>
      </w:pPr>
      <w:r>
        <w:rPr/>
        <w:t>Em caso de concomitância da cirurgia ortognática com emprego de prótese total de ATM (articulação temporomandibular), haverá a necessidade de acesso extraoral com incisões em região pré auricular e submandibular, assim como o risco de alterações da mímica facial.</w:t>
      </w:r>
    </w:p>
    <w:p>
      <w:pPr>
        <w:pStyle w:val="Normal"/>
        <w:spacing w:lineRule="auto" w:line="240"/>
        <w:ind w:left="-567" w:right="-568"/>
        <w:jc w:val="both"/>
        <w:rPr>
          <w:color w:val="auto"/>
        </w:rPr>
      </w:pPr>
      <w:r>
        <w:rPr>
          <w:b/>
          <w:bCs/>
          <w:color w:val="auto"/>
        </w:rPr>
        <w:t xml:space="preserve">Infecção relacionada à assistência à saúde:  </w:t>
      </w:r>
      <w:r>
        <w:rPr>
          <w:color w:val="auto"/>
        </w:rPr>
        <w:t xml:space="preserve">A legislação nacional vigente obriga os hospitais a manterem uma comissão e um programa de prevenção de infecções relacionadas à assistência à saúde. De acordo com a Agência nacional de Vigilância sanitária (ANVISA) e com o National Healthcare Safety Network (NHSN), as taxas aceitáveis de infecção para cada potencial de contaminação cirúrgica são: </w:t>
      </w:r>
    </w:p>
    <w:p>
      <w:pPr>
        <w:pStyle w:val="Normal"/>
        <w:spacing w:lineRule="auto" w:line="240"/>
        <w:ind w:left="-567" w:right="-568"/>
        <w:jc w:val="both"/>
        <w:rPr>
          <w:color w:val="auto"/>
        </w:rPr>
      </w:pPr>
      <w:r>
        <w:rPr>
          <w:color w:val="auto"/>
        </w:rPr>
        <w:t xml:space="preserve">• </w:t>
      </w:r>
      <w:r>
        <w:rPr>
          <w:color w:val="auto"/>
        </w:rPr>
        <w:t xml:space="preserve">Cirurgias limpas: até 4% </w:t>
      </w:r>
    </w:p>
    <w:p>
      <w:pPr>
        <w:pStyle w:val="Normal"/>
        <w:spacing w:lineRule="auto" w:line="240"/>
        <w:ind w:left="-567" w:right="-568"/>
        <w:jc w:val="both"/>
        <w:rPr>
          <w:color w:val="auto"/>
        </w:rPr>
      </w:pPr>
      <w:r>
        <w:rPr>
          <w:color w:val="auto"/>
        </w:rPr>
        <w:t xml:space="preserve">• </w:t>
      </w:r>
      <w:r>
        <w:rPr>
          <w:color w:val="auto"/>
        </w:rPr>
        <w:t xml:space="preserve">Cirurgias potencialmente contaminadas: até 10% </w:t>
      </w:r>
    </w:p>
    <w:p>
      <w:pPr>
        <w:pStyle w:val="Normal"/>
        <w:spacing w:lineRule="auto" w:line="240"/>
        <w:ind w:left="-567" w:right="-568"/>
        <w:jc w:val="both"/>
        <w:rPr>
          <w:color w:val="auto"/>
        </w:rPr>
      </w:pPr>
      <w:r>
        <w:rPr>
          <w:color w:val="auto"/>
        </w:rPr>
        <w:t xml:space="preserve">• </w:t>
      </w:r>
      <w:r>
        <w:rPr>
          <w:color w:val="auto"/>
        </w:rPr>
        <w:t xml:space="preserve">Cirurgias contaminadas: até 17% </w:t>
      </w:r>
    </w:p>
    <w:p>
      <w:pPr>
        <w:pStyle w:val="Normal"/>
        <w:spacing w:lineRule="auto" w:line="240"/>
        <w:ind w:left="-567" w:right="-568"/>
        <w:jc w:val="both"/>
        <w:rPr>
          <w:color w:val="auto"/>
        </w:rPr>
      </w:pPr>
      <w:r>
        <w:rPr>
          <w:color w:val="auto"/>
        </w:rPr>
        <w:t>Mesmo tomando-se todas as medidas possíveis para a prevenção de infecções, tanto por parte do cirurgião e equipe, quanto por parte do hospital, esse risco existe e deve sempre ser considerado.</w:t>
      </w:r>
    </w:p>
    <w:p>
      <w:pPr>
        <w:pStyle w:val="Normal"/>
        <w:spacing w:lineRule="auto" w:line="240"/>
        <w:ind w:left="-567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rPr>
          <w:b/>
          <w:bCs/>
          <w:u w:val="single"/>
        </w:rPr>
      </w:pPr>
      <w:r>
        <w:rPr>
          <w:b/>
          <w:bCs/>
          <w:u w:val="single"/>
        </w:rPr>
        <w:t>RECOMENDAÇÕES PÓS-OPERATÓRIAS: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210" w:right="-568"/>
        <w:jc w:val="both"/>
        <w:rPr/>
      </w:pPr>
      <w:r>
        <w:rPr/>
        <w:t>‘’</w:t>
      </w:r>
      <w:r>
        <w:rPr/>
        <w:t>Restrição’’ absoluta de dieta líquida e pastosa durante 30 dias após o procedimento. A reinserção da alimentação sólida será gradual, de acordo com os resultados observados em consultas ambulatoriais pós-operatórias.</w:t>
      </w:r>
    </w:p>
    <w:p>
      <w:pPr>
        <w:pStyle w:val="Normal"/>
        <w:spacing w:lineRule="auto" w:line="240"/>
        <w:ind w:left="-567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/>
          <w:u w:val="single"/>
          <w:lang w:val="pt-PT" w:eastAsia="pt-BR"/>
        </w:rPr>
      </w:pPr>
      <w:r>
        <w:rPr>
          <w:u w:val="single"/>
        </w:rPr>
        <w:t>Declaro, adicionalmente, que:</w:t>
      </w:r>
      <w:r>
        <w:rPr/>
        <w:t xml:space="preserve">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médica/odontológica,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  <w:t>2. Assim, declaro também estar ciente que a equipe médica/odontológica se compromete a utilizar de todos os meios possíveis dentro da literatura científica e capacitação técnica para alcançar o resultado esperado, mas que o procedimento não garante necessariamente a cura.</w:t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  <w:t>3. Fui devidamente esclarecido (a) sobre meu diagnóstico em linguagem clara e compreensível da deformidade dento facial existente (prognatismo; retrognatismo; padrão facial classe III; padrão facial classe II; hipertrofia de maxila, etc) bem como o tratamento cirúrgico ao qual serei submetido (Cirurgia mono maxilar de avanço ou recuo; cirurgia combinada bimaxilar; segmentação de maxila; mentoplastias, etc). Tais informações se encontram devidamente descriminadas no meu prontuário dos quais dou pleno conhecimento.</w:t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b/>
          <w:bCs/>
        </w:rPr>
        <w:t>PODERÁ SER NECESSÁRIA A INFUSÃO DE SANGUE E SEUS COMPONENTES (TRANSFUSÃO DE SANGUE) NO PACIENTE</w:t>
      </w:r>
      <w:r>
        <w:rPr/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</w:r>
    </w:p>
    <w:p>
      <w:pPr>
        <w:pStyle w:val="ListParagraph"/>
        <w:spacing w:lineRule="auto" w:line="240"/>
        <w:ind w:left="-567" w:right="-568"/>
        <w:jc w:val="both"/>
        <w:rPr/>
      </w:pPr>
      <w:r>
        <w:rPr/>
        <w:t>6. A realização de outros procedimentos invasivos, terapias alternativas e os registros fotográficos da pele ou lesões, caso ocorram, ficarão limitados aos profissionais de saúde do Instituto Orizonti.</w:t>
      </w:r>
    </w:p>
    <w:p>
      <w:pPr>
        <w:pStyle w:val="BodyText"/>
        <w:ind w:left="-567"/>
        <w:rPr>
          <w:rFonts w:ascii="Calibri" w:hAnsi="Calibri" w:eastAsia="Calibri"/>
        </w:rPr>
      </w:pPr>
      <w:r>
        <w:rPr>
          <w:rFonts w:eastAsia="Calibri"/>
        </w:rPr>
        <w:t>7. Autorizo a divulgação das informações médicas contidas em meu prontuário, exclusivamente para finalidade científica da Instituição, desde que minha identidade permaneça anônima.</w:t>
      </w:r>
    </w:p>
    <w:p>
      <w:pPr>
        <w:pStyle w:val="BodyText"/>
        <w:ind w:left="-567"/>
        <w:rPr>
          <w:rFonts w:ascii="Calibri" w:hAnsi="Calibri" w:eastAsia="Calibri"/>
        </w:rPr>
      </w:pPr>
      <w:r>
        <w:rPr>
          <w:rFonts w:eastAsia="Calibri"/>
        </w:rPr>
        <w:t>8.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BodyText"/>
        <w:ind w:left="-567"/>
        <w:rPr>
          <w:rFonts w:ascii="Calibri" w:hAnsi="Calibri" w:eastAsia="Calibri"/>
        </w:rPr>
      </w:pPr>
      <w:r>
        <w:rPr>
          <w:rFonts w:eastAsia="Calibri"/>
        </w:rPr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  <w:sz w:val="22"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  <w:sz w:val="22"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08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default" r:id="rId3"/>
      <w:footerReference w:type="default" r:id="rId4"/>
      <w:type w:val="nextPage"/>
      <w:pgSz w:w="11906" w:h="16838"/>
      <w:pgMar w:left="1701" w:right="1701" w:gutter="0" w:header="51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ind w:left="-2268"/>
      <w:jc w:val="center"/>
      <w:rPr/>
    </w:pPr>
    <w:r>
      <w:rPr/>
      <w:drawing>
        <wp:inline distT="0" distB="0" distL="0" distR="0">
          <wp:extent cx="8329295" cy="1110615"/>
          <wp:effectExtent l="0" t="0" r="0" b="0"/>
          <wp:docPr id="2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29295" cy="111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1802765</wp:posOffset>
          </wp:positionH>
          <wp:positionV relativeFrom="paragraph">
            <wp:posOffset>-304165</wp:posOffset>
          </wp:positionV>
          <wp:extent cx="7458710" cy="1010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1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21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7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b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a0f6c"/>
    <w:rPr/>
  </w:style>
  <w:style w:type="character" w:styleId="RodapChar" w:customStyle="1">
    <w:name w:val="Rodapé Char"/>
    <w:basedOn w:val="DefaultParagraphFont"/>
    <w:uiPriority w:val="99"/>
    <w:qFormat/>
    <w:rsid w:val="00ba0f6c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a0f6c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a0f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dro" w:customStyle="1">
    <w:name w:val="Padrão"/>
    <w:qFormat/>
    <w:rsid w:val="00013674"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ListParagraph">
    <w:name w:val="List Paragraph"/>
    <w:basedOn w:val="Normal"/>
    <w:uiPriority w:val="34"/>
    <w:qFormat/>
    <w:rsid w:val="00013674"/>
    <w:pPr>
      <w:spacing w:lineRule="auto" w:line="259"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136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36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auziovarella.uol.com.br/anestesiologia/quais-sao-os-tipos-de-anestesia-e-sedacao-mais-utilizados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LibreOffice/7.6.2.1$Windows_X86_64 LibreOffice_project/56f7684011345957bbf33a7ee678afaf4d2ba333</Application>
  <AppVersion>15.0000</AppVersion>
  <Pages>6</Pages>
  <Words>1688</Words>
  <Characters>11050</Characters>
  <CharactersWithSpaces>12647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2022-02-09T12:17:00Z</dcterms:created>
  <dc:creator>Luiz Gustavo Alves Passos</dc:creator>
  <dc:description/>
  <dc:language>pt-BR</dc:language>
  <cp:lastModifiedBy/>
  <dcterms:modified xsi:type="dcterms:W3CDTF">2024-12-03T07:20:35Z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