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Videoartroscopia do Quadril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Videoartroscopia do Quadril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:IFA/lesão labral 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Cirurgia realizada por via endoscópica e que visa avaliar a articulação do quadril 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Estou ciente de que o procedimento tem os seguintes riscos potenciais: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Infecção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Soltura dos materiais implantados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Rejeição dos materiais implantados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Lesões musculares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Claudicação (mancar)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Dor pós operatória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Lesões na pele por tração, principalmente em região inguinal e/ou escrotal e região medial da coxa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Incontinência urinária temporária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Impotência sexual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Internação prolongada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Cicatriz cirúrgica hipertrófica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Necessidade de uso de orteses (muletas, andador, palmilhas) para se locomover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Deficits de sensibilidade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Reações alérgicas a medicamentos utilizados ou a anestesia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Parada cardíaca</w:t>
      </w:r>
    </w:p>
    <w:p>
      <w:pPr>
        <w:pStyle w:val="Normal"/>
        <w:numPr>
          <w:ilvl w:val="0"/>
          <w:numId w:val="1"/>
        </w:numPr>
        <w:spacing w:lineRule="auto" w:line="240" w:before="0" w:after="86"/>
        <w:jc w:val="both"/>
        <w:rPr/>
      </w:pPr>
      <w:r>
        <w:rPr>
          <w:rFonts w:cs="Calibri" w:cstheme="minorHAnsi"/>
        </w:rPr>
        <w:t>Óbito</w:t>
      </w:r>
    </w:p>
    <w:p>
      <w:pPr>
        <w:pStyle w:val="Normal"/>
        <w:numPr>
          <w:ilvl w:val="0"/>
          <w:numId w:val="0"/>
        </w:numPr>
        <w:spacing w:lineRule="auto" w:line="240" w:before="0" w:after="86"/>
        <w:ind w:hanging="0" w:left="15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Realizar o controle da dor de forma não cirúrgica com medicamentos e fisioterapia.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5</Pages>
  <Words>1192</Words>
  <Characters>8091</Characters>
  <CharactersWithSpaces>9211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2024-12-27T10:31:05Z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