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do Prolapso de Cúpula Vaginal por Laparoscopia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sz w:val="24"/>
          <w:szCs w:val="24"/>
        </w:rPr>
        <w:t>Cirurgia Laparoscópica do Prolapso de Cúpula Vaginal – CID N99.3/CBHPM 31307167</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cs="Calibri" w:cstheme="minorHAnsi"/>
        </w:rPr>
        <w:t>Consiste no reposicionamento cirúrgico da cúpula vaginal (fundo da vagina) que se encontra em posição prolapsada (externalizada), usando-se a técnica laparoscópica. São realizados pequenos cortes no abdome para posicionamento de instrumental cirúrgico que permite acesso à cavidade abdominal por esses cortes pequenos. Estes instrumentos são chamados trocartes e consistem em um tubo valvulado por onde inserimos pinças especiais e outros instrumento para manipulação cirúrgica minimamente invasiva.  Normalmente são realizados 4 a 5 cortes pequenos (um na cicatriz umbilical e outros 3 a 4 distribuídos na parede abdominal. Após acessar a cavidade abdominal ela deve ser reenchida com gás CO2 para produzir afastamento das paredes abdominais em relação aos órgãos internos, o que gera o espaço necessário para realização do procedimento. Após esta fase inicial a cúpula vaginal é identificada e separada da bexiga e do intestino grosso (reto), e, em seguida, é fixada com ajuda de uma tela inorgânica (polipropileno) no periósteo (membrana que reveste os ossos) do promontório sacral e escavação sacral (que são regiões do osso sacro, integrante da coluna vertebral). Em algumas condições pode haver a necessidade de fixação de parte da tela acima descrita em músculos que compõe o assoalho pélvico (músculos integrantes do períneo).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:As principais complicações decorrentes do tratamento do prolapso de cúpula vaginal  são: Infecções com possibilidade de ocorrência de febre, sangramentos com a possível necessidade de transfusão durante ou após a cirurgia; hematoma (sangue coagulado acumulado em determinada área da cirúrgica), por vezes com necessidade de realizar drenagem cirúrgica do mesmo; trauma cirúrgico na bexiga, uretra  ou  ureteres; trauma cirúrgico sobre os intestinos, sendo necessário cirurgia especializada; fístulas (que são comunicações anormais entre duas cavidades – por exemplo: comunicação entre a cavidade da bexiga com a cavidade da vagina, ocasionando perda de urina pela vagina); deiscência (abertura dos pontos) da ferida com perda dos pontos dados (o que pode produzir retorno do prolapso da cúpula vaginal), sendo necessário, eventualmente, nova anestesia para realizar nova sutura; trombose venosa dos membros inferiores e embolia pulmonar; dores devido à posição cirúrgica; cicatrizes hipertróficas (cicatriz grossa), queloides (cicatriz muito espessa e dolorida), retração cicatricial; vagina curta com dificuldade para ter relação</w:t>
      </w:r>
      <w:r>
        <w:rPr>
          <w:rFonts w:cs="Calibri" w:cstheme="minorHAnsi"/>
          <w:spacing w:val="-1"/>
        </w:rPr>
        <w:t xml:space="preserve"> </w:t>
      </w:r>
      <w:r>
        <w:rPr>
          <w:rFonts w:cs="Calibri" w:cstheme="minorHAnsi"/>
        </w:rPr>
        <w:t>sexual, vagina desviada de sua posição usual, o que pode produzir desconforto e/ou dor durante as relações sexuais. Em algumas situações, principalmente quando há sangramento aumentado durante o procedimento, pode haver a necessidade de se interromper o procedimento laparoscópico e termos que realizar uma incisão abdominal ampla para acesso à cavidade, risco de óbito.</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:Os tratamentos alternativos já devem ter sido amplamente discutidos no momento da decisão pelo tratamento do prolapso de cúpula vaginal. Eles podem incluir tratamento não cirúrgico, onde se usa um dispositivo que ajuda a manter a vagina internalizada. Este dispositivo tem o nome de pessário e deve ser do tamanho específico para cada paciente. Tal tratamento não é definitivo e a paciente depende de usar o pessário diariamente. Uma vez retirado o pessário o prolapsode da cúpula vaginal se forma novamente. Outro tratamento cirúrgico que pode ser realizado é destinado às pacientes com risco cirúrgico acima da média, as quais não toleram adequadamente o impacto da cirurgia. Este tratamento alternativo consiste em sutura da vagina, fechando-a. Ficam abertos e inalterados a uretra distal (por onde sai a urina durante às micções) e o ânus. Outro tratamento alternativo é a modificação da via laparoscópica para via vaginal. A via vaginal, também conhecida como via baixa, permite a realização de uma cirurgia sem necessidade de realização de corte na parede abdominal, porém a vagina, após o procedimento, apesar de ficar novamente em posição interna, não fica no sentido usual, tornando-se devida para baixo e para o lado direito ou esquerdo.</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w:t>
      </w:r>
      <w:r>
        <w:rPr>
          <w:rFonts w:cs="Calibri" w:cstheme="minorHAnsi"/>
        </w:rPr>
        <w:t>.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w:t>
      </w:r>
      <w:r>
        <w:rPr>
          <w:rFonts w:cs="Calibri" w:cstheme="minorHAnsi"/>
        </w:rPr>
        <w:t xml:space="preserve">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w:t>
      </w:r>
      <w:r>
        <w:rPr>
          <w:rFonts w:cs="Calibri" w:cstheme="minorHAnsi"/>
        </w:rPr>
        <w:t>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w:t>
      </w:r>
      <w:r>
        <w:rPr>
          <w:rFonts w:cs="Calibri" w:cstheme="minorHAnsi"/>
        </w:rPr>
        <w:t>.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LibreOffice/24.2.0.3$Windows_X86_64 LibreOffice_project/da48488a73ddd66ea24cf16bbc4f7b9c08e9bea1</Application>
  <AppVersion>15.0000</AppVersion>
  <Pages>5</Pages>
  <Words>1687</Words>
  <Characters>10960</Characters>
  <CharactersWithSpaces>12608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2024-12-19T17:30:24Z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