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 Tratamento Endovascular de Epistaxe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6"/>
        <w:gridCol w:w="7653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6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6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6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6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3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Tratamento Endovascular de Epistaxe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:Epistaxe (sangramento nasal)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A epistaxe é o sangramento através da cavidade nasal. Tem causas variadas, incluindo malformações vasculares, tumores, trauma, etc. Em grande parte dos casos é idiopática. Em virtude da possibilidade da perda de grandes volumes de sangue, apesar do tamponamento nasal e outras medidas cirúrgicas, a embolização tornou-se uma opção em casos selecionados visando-se reduzir ou interromper o sangramento.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0" w:right="-1020"/>
        <w:jc w:val="both"/>
        <w:rPr/>
      </w:pPr>
      <w:r>
        <w:rPr>
          <w:rFonts w:cs="Calibri" w:cstheme="minorHAnsi"/>
        </w:rPr>
        <w:t>Ataque isquêmico transitório – déficit transitório que se reverte em horas.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0" w:right="-1020"/>
        <w:jc w:val="both"/>
        <w:rPr/>
      </w:pPr>
      <w:r>
        <w:rPr>
          <w:rFonts w:cs="Calibri" w:cstheme="minorHAnsi"/>
        </w:rPr>
        <w:t>Isquemia cerebral/retiniana leve – déficit mínimo que altera pouco as funções do paciente.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0" w:right="-1020"/>
        <w:jc w:val="both"/>
        <w:rPr/>
      </w:pPr>
      <w:r>
        <w:rPr>
          <w:rFonts w:cs="Calibri" w:cstheme="minorHAnsi"/>
        </w:rPr>
        <w:t>Isquemia cerebral/retiniana grave – déficit importante que altera as funções do paciente.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0" w:right="-1020"/>
        <w:jc w:val="both"/>
        <w:rPr/>
      </w:pPr>
      <w:r>
        <w:rPr>
          <w:rFonts w:cs="Calibri" w:cstheme="minorHAnsi"/>
        </w:rPr>
        <w:t>Hemorragia cerebral e/ou Intratumoral.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0" w:right="-1020"/>
        <w:jc w:val="both"/>
        <w:rPr/>
      </w:pPr>
      <w:r>
        <w:rPr>
          <w:rFonts w:cs="Calibri" w:cstheme="minorHAnsi"/>
        </w:rPr>
        <w:t>Déficit de nervo craniano (ex.paralisia nervo facial).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57" w:right="-1020"/>
        <w:jc w:val="both"/>
        <w:rPr>
          <w:rFonts w:cs="Calibri" w:cstheme="minorHAnsi"/>
        </w:rPr>
      </w:pPr>
      <w:r>
        <w:rPr>
          <w:rFonts w:cs="Calibri" w:cstheme="minorHAnsi"/>
        </w:rPr>
        <w:t>Óbito.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Os fenômenos isquêmicos são atribuídos a tromboembolismo ou então a passagem não intencional de partículas para ramos piais ou retinianos.</w:t>
      </w:r>
    </w:p>
    <w:p>
      <w:pPr>
        <w:pStyle w:val="Normal"/>
        <w:numPr>
          <w:ilvl w:val="0"/>
          <w:numId w:val="0"/>
        </w:numPr>
        <w:spacing w:lineRule="auto" w:line="24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Dentre as complicações não neurológicas pode-se citar: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56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Descompensação de doença pré existente.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97" w:left="57" w:right="-1020"/>
        <w:jc w:val="both"/>
        <w:rPr/>
      </w:pPr>
      <w:r>
        <w:rPr>
          <w:rFonts w:cs="Calibri" w:cstheme="minorHAnsi"/>
        </w:rPr>
        <w:t>Febre e dor local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97" w:left="57" w:right="-1020"/>
        <w:jc w:val="both"/>
        <w:rPr/>
      </w:pPr>
      <w:r>
        <w:rPr>
          <w:rFonts w:cs="Calibri" w:cstheme="minorHAnsi"/>
        </w:rPr>
        <w:t>Bradicardia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97" w:left="57" w:right="-1020"/>
        <w:jc w:val="both"/>
        <w:rPr/>
      </w:pPr>
      <w:r>
        <w:rPr>
          <w:rFonts w:cs="Calibri" w:cstheme="minorHAnsi"/>
        </w:rPr>
        <w:t xml:space="preserve">Necrose palatal e fistula oronasal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Reação alérgica ao contraste.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Hematoma no local da punção.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0" w:right="-113"/>
        <w:jc w:val="both"/>
        <w:rPr>
          <w:rFonts w:cs="Calibri" w:cstheme="minorHAnsi"/>
        </w:rPr>
      </w:pPr>
      <w:r>
        <w:rPr>
          <w:rFonts w:cs="Calibri" w:cstheme="minorHAnsi"/>
        </w:rPr>
        <w:t>Outras: reflexo vaso-vagal, hipotensão, descompensação de insuficiência renal, pseudoaneurisma em região da punção, hemorragia retro-peritoneal, reação pirogênica, infecção, reação alérgica aos produtos anestésicos e tromboembolia.</w:t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Tamponamento nasal, ligadura da artéria esfenopalatina.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LibreOffice/24.2.0.3$Windows_X86_64 LibreOffice_project/da48488a73ddd66ea24cf16bbc4f7b9c08e9bea1</Application>
  <AppVersion>15.0000</AppVersion>
  <Pages>5</Pages>
  <Words>1275</Words>
  <Characters>8679</Characters>
  <CharactersWithSpaces>9889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2024-12-24T11:03:01Z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