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cs="Calibri" w:cstheme="minorHAnsi"/>
          <w:b/>
          <w:bCs/>
        </w:rPr>
      </w:pPr>
      <w:r>
        <w:rPr>
          <w:rFonts w:cs="Calibri" w:cstheme="minorHAnsi"/>
          <w:b/>
          <w:bCs/>
        </w:rPr>
        <w:t>TERMO DE CONSENTIMENTO 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0200"/>
      </w:tblGrid>
      <w:tr>
        <w:trPr>
          <w:trHeight w:val="346" w:hRule="atLeast"/>
        </w:trPr>
        <w:tc>
          <w:tcPr>
            <w:tcW w:w="10200"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 xml:space="preserve">Procedimento: </w:t>
            </w:r>
            <w:r>
              <w:rPr>
                <w:rFonts w:eastAsia="Calibri" w:cs="Calibri" w:cstheme="minorHAnsi"/>
                <w:b/>
                <w:bCs/>
                <w:kern w:val="0"/>
                <w:sz w:val="22"/>
                <w:szCs w:val="22"/>
                <w:lang w:val="pt-BR" w:eastAsia="en-US" w:bidi="ar-SA"/>
              </w:rPr>
              <w:t xml:space="preserve">Tratamento Cirúrgico de Lesão de Cartilagem </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3"/>
        <w:gridCol w:w="7776"/>
      </w:tblGrid>
      <w:tr>
        <w:trPr/>
        <w:tc>
          <w:tcPr>
            <w:tcW w:w="10199"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776"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200"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3"/>
        <w:gridCol w:w="7656"/>
      </w:tblGrid>
      <w:tr>
        <w:trPr/>
        <w:tc>
          <w:tcPr>
            <w:tcW w:w="10199"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656"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57"/>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w:t>
      </w:r>
      <w:r>
        <w:rPr>
          <w:rFonts w:eastAsia="Calibri" w:cs="Calibri" w:cstheme="minorHAnsi"/>
          <w:b/>
          <w:bCs/>
          <w:kern w:val="0"/>
          <w:sz w:val="22"/>
          <w:szCs w:val="22"/>
          <w:lang w:val="pt-BR" w:eastAsia="en-US" w:bidi="ar-SA"/>
        </w:rPr>
        <w:t xml:space="preserve">Tratamento Cirúrgico de Lesão de Cartilagem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57"/>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13"/>
        <w:jc w:val="both"/>
        <w:rPr>
          <w:rFonts w:ascii="Calibri" w:hAnsi="Calibri"/>
        </w:rPr>
      </w:pPr>
      <w:r>
        <w:rPr>
          <w:rFonts w:cs="Calibri" w:cstheme="minorHAnsi"/>
          <w:sz w:val="22"/>
          <w:szCs w:val="22"/>
        </w:rPr>
        <w:t>Assim sendo, declaro que o Médico, atendendo ao que determinam os artigos 22 e 34 da Resolução CFM no. 1.931/09 (“</w:t>
      </w:r>
      <w:r>
        <w:rPr>
          <w:rFonts w:cs="Calibri" w:cstheme="minorHAnsi"/>
          <w:sz w:val="22"/>
          <w:szCs w:val="22"/>
          <w:u w:val="single"/>
        </w:rPr>
        <w:t>Código de Ética Médica</w:t>
      </w:r>
      <w:r>
        <w:rPr>
          <w:rFonts w:cs="Calibri" w:cstheme="minorHAnsi"/>
          <w:sz w:val="22"/>
          <w:szCs w:val="22"/>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40" w:before="0" w:after="0"/>
        <w:ind w:hanging="0" w:left="-567" w:right="-113"/>
        <w:jc w:val="both"/>
        <w:rPr>
          <w:rFonts w:ascii="Calibri" w:hAnsi="Calibri"/>
        </w:rPr>
      </w:pPr>
      <w:r>
        <w:rPr/>
      </w:r>
    </w:p>
    <w:p>
      <w:pPr>
        <w:pStyle w:val="Normal"/>
        <w:widowControl/>
        <w:suppressAutoHyphens w:val="true"/>
        <w:bidi w:val="0"/>
        <w:spacing w:lineRule="auto" w:line="240" w:before="0" w:after="200"/>
        <w:ind w:hanging="0" w:left="-567" w:right="-113"/>
        <w:jc w:val="both"/>
        <w:rPr>
          <w:rFonts w:cs="Calibri" w:cstheme="minorHAnsi"/>
          <w:b/>
          <w:bCs/>
        </w:rPr>
      </w:pPr>
      <w:r>
        <w:rPr>
          <w:rFonts w:cs="Calibri" w:cstheme="minorHAnsi"/>
          <w:b/>
          <w:bCs/>
        </w:rPr>
        <w:t>DIAGNÓSTICO</w:t>
      </w:r>
      <w:r>
        <w:rPr>
          <w:rFonts w:cs="Calibri" w:cstheme="minorHAnsi"/>
        </w:rPr>
        <w:t>: Lesão Osteocondral do Joelho</w:t>
      </w:r>
    </w:p>
    <w:p>
      <w:pPr>
        <w:pStyle w:val="Normal"/>
        <w:spacing w:lineRule="auto" w:line="240"/>
        <w:ind w:left="-567" w:right="-568"/>
        <w:jc w:val="both"/>
        <w:rPr>
          <w:rFonts w:cs="Calibri" w:cstheme="minorHAnsi"/>
          <w:b/>
          <w:bCs/>
        </w:rPr>
      </w:pPr>
      <w:r>
        <w:rPr>
          <w:rFonts w:cs="Calibri" w:cstheme="minorHAnsi"/>
          <w:b/>
          <w:bCs/>
        </w:rPr>
        <w:t>DEFINIÇÃO DO PROCEDIMENTO</w:t>
      </w:r>
      <w:r>
        <w:rPr>
          <w:rFonts w:cs="Calibri" w:cstheme="minorHAnsi"/>
        </w:rPr>
        <w:t xml:space="preserve">: </w:t>
      </w:r>
      <w:r>
        <w:rPr/>
        <w:t>Membrana indutora de colágeno condhroguide.</w:t>
      </w:r>
    </w:p>
    <w:p>
      <w:pPr>
        <w:pStyle w:val="Normal"/>
        <w:widowControl/>
        <w:suppressAutoHyphens w:val="true"/>
        <w:bidi w:val="0"/>
        <w:spacing w:lineRule="auto" w:line="240" w:before="0" w:after="200"/>
        <w:ind w:hanging="0" w:left="-567" w:right="-170"/>
        <w:jc w:val="both"/>
        <w:rPr>
          <w:rFonts w:cs="Calibri" w:cstheme="minorHAnsi"/>
        </w:rPr>
      </w:pPr>
      <w:r>
        <w:rPr>
          <w:rFonts w:cs="Calibri" w:cstheme="minorHAnsi"/>
          <w:b/>
          <w:bCs/>
        </w:rPr>
        <w:t>RISCOS, COMPLICAÇÕES</w:t>
      </w:r>
      <w:r>
        <w:rPr>
          <w:rFonts w:cs="Calibri" w:cstheme="minorHAnsi"/>
        </w:rPr>
        <w:t xml:space="preserve">: </w:t>
      </w:r>
      <w:r>
        <w:rPr/>
        <w:t>Dor, hematomas, hemorragias, trombose, infecção, embolia, perda de sensibilidade do membro operado, perda de amplitude do movimento.</w:t>
      </w:r>
    </w:p>
    <w:p>
      <w:pPr>
        <w:pStyle w:val="Normal"/>
        <w:widowControl/>
        <w:suppressAutoHyphens w:val="true"/>
        <w:bidi w:val="0"/>
        <w:spacing w:lineRule="auto" w:line="240" w:before="0" w:after="200"/>
        <w:ind w:hanging="0" w:left="-567" w:right="-170"/>
        <w:jc w:val="both"/>
        <w:rPr>
          <w:rFonts w:cs="Calibri" w:cstheme="minorHAnsi"/>
        </w:rPr>
      </w:pPr>
      <w:r>
        <w:rPr>
          <w:rFonts w:cs="Calibri" w:cstheme="minorHAnsi"/>
        </w:rPr>
        <w:t xml:space="preserve">Complicações graves são muito raras, mas podem levar a hospitalização prolongada, necessidade de repetição da cirurgia ou muito raramente levar a óbito. </w:t>
      </w:r>
    </w:p>
    <w:p>
      <w:pPr>
        <w:pStyle w:val="Normal"/>
        <w:widowControl/>
        <w:suppressAutoHyphens w:val="true"/>
        <w:bidi w:val="0"/>
        <w:spacing w:lineRule="auto" w:line="240" w:before="0" w:after="200"/>
        <w:ind w:hanging="0" w:left="-567" w:right="-170"/>
        <w:jc w:val="both"/>
        <w:rPr/>
      </w:pPr>
      <w:r>
        <w:rPr>
          <w:rFonts w:cs="Calibri" w:cstheme="minorHAnsi"/>
          <w:b/>
          <w:bCs/>
        </w:rPr>
        <w:t>BENEFÍCIOS:</w:t>
      </w:r>
      <w:r>
        <w:rPr/>
        <w:t xml:space="preserve"> Tratamento de lesões osteoarticulares degenerativas de maior dimensão, prevenção de artroses secundárias. Maior índice de retorno as atividades esportivas.</w:t>
      </w:r>
    </w:p>
    <w:p>
      <w:pPr>
        <w:pStyle w:val="Normal"/>
        <w:spacing w:lineRule="auto" w:line="240"/>
        <w:ind w:left="-567" w:right="-568"/>
        <w:jc w:val="both"/>
        <w:rPr/>
      </w:pPr>
      <w:r>
        <w:rPr>
          <w:rFonts w:cs="Calibri" w:cstheme="minorHAnsi"/>
          <w:b/>
          <w:bCs/>
        </w:rPr>
        <w:t>TRATAMENTOS ALTERNATIVOS:</w:t>
      </w:r>
      <w:r>
        <w:rPr/>
        <w:t xml:space="preserve"> Microfraturas.</w:t>
      </w:r>
    </w:p>
    <w:p>
      <w:pPr>
        <w:pStyle w:val="Normal"/>
        <w:spacing w:lineRule="auto" w:line="240"/>
        <w:ind w:left="-567" w:right="-568"/>
        <w:jc w:val="both"/>
        <w:rPr/>
      </w:pPr>
      <w:r>
        <w:rPr/>
      </w:r>
    </w:p>
    <w:p>
      <w:pPr>
        <w:pStyle w:val="Normal"/>
        <w:spacing w:lineRule="auto" w:line="240"/>
        <w:ind w:left="-567" w:right="-568"/>
        <w:jc w:val="both"/>
        <w:rPr>
          <w:rFonts w:cs="Calibri" w:cstheme="minorHAnsi"/>
        </w:rPr>
      </w:pPr>
      <w:r>
        <w:rPr>
          <w:rFonts w:cs="Calibri" w:cstheme="minorHAnsi"/>
        </w:rPr>
        <w:t>Declaro que:</w:t>
      </w:r>
    </w:p>
    <w:p>
      <w:pPr>
        <w:pStyle w:val="ListParagraph"/>
        <w:widowControl/>
        <w:numPr>
          <w:ilvl w:val="0"/>
          <w:numId w:val="1"/>
        </w:numPr>
        <w:suppressAutoHyphens w:val="true"/>
        <w:bidi w:val="0"/>
        <w:spacing w:lineRule="auto" w:line="240" w:before="0" w:after="200"/>
        <w:ind w:hanging="397" w:left="170" w:right="-170"/>
        <w:contextualSpacing/>
        <w:jc w:val="both"/>
        <w:rPr>
          <w:rFonts w:cs="Calibri" w:cstheme="minorHAnsi"/>
          <w:b/>
          <w:bCs/>
        </w:rPr>
      </w:pPr>
      <w:r>
        <w:rPr>
          <w:rFonts w:cs="Calibri" w:cstheme="minorHAnsi"/>
          <w:b/>
          <w:bCs/>
        </w:rPr>
        <w:t xml:space="preserve">Estou ciente e compreendo que a técnica e a utilização dos insumos abaixo referenciados não são cobertos pela minha apólice de seguro-saúde ou por convênio de assistência saúde suplementar, conforme rol definido pelos órgãos regulatórios, havendo sua utilização ter sido de minha escolha após esclarecimento médico de todas alternativas existentes. Declaro, que renuncio ao direito de solicitar, sob qualquer forma, em face da seguradora ou operadora de plano de saúde, reembolso financeiro, uma vez que exerci uma opção individual pelo uso da técnica/insumo acima referenciado, após meu médico esclarecer todas as alternativas pertinentes para meu tratamento. </w:t>
      </w:r>
    </w:p>
    <w:p>
      <w:pPr>
        <w:pStyle w:val="ListParagraph"/>
        <w:spacing w:lineRule="auto" w:line="240"/>
        <w:ind w:left="153" w:right="-568"/>
        <w:jc w:val="both"/>
        <w:rPr>
          <w:rFonts w:cs="Calibri" w:cstheme="minorHAnsi"/>
          <w:b/>
          <w:bCs/>
        </w:rPr>
      </w:pPr>
      <w:r>
        <w:rPr>
          <w:rFonts w:cs="Calibri" w:cstheme="minorHAnsi"/>
          <w:b/>
          <w:bCs/>
        </w:rPr>
      </w:r>
    </w:p>
    <w:p>
      <w:pPr>
        <w:pStyle w:val="ListParagraph"/>
        <w:widowControl/>
        <w:numPr>
          <w:ilvl w:val="0"/>
          <w:numId w:val="1"/>
        </w:numPr>
        <w:suppressAutoHyphens w:val="true"/>
        <w:bidi w:val="0"/>
        <w:spacing w:lineRule="auto" w:line="240" w:before="0" w:after="200"/>
        <w:ind w:hanging="397" w:left="170" w:right="-170"/>
        <w:contextualSpacing/>
        <w:jc w:val="both"/>
        <w:rPr>
          <w:rFonts w:eastAsia="" w:eastAsiaTheme="minorEastAsia"/>
        </w:rPr>
      </w:pPr>
      <w:r>
        <w:rPr>
          <w:rFonts w:eastAsia="" w:eastAsiaTheme="minorEastAsia"/>
        </w:rPr>
        <w:t>Assim, tendo conhecimento, autorizo a realização do procedimento proposto, para todos os fins legais, ciente dos ônus financeiros daí decorrentes, os quais, desde a realização do procedimento, confesso dever e prometo pagar.</w:t>
      </w:r>
    </w:p>
    <w:p>
      <w:pPr>
        <w:pStyle w:val="ListParagraph"/>
        <w:spacing w:lineRule="auto" w:line="240"/>
        <w:ind w:left="153" w:right="-568"/>
        <w:jc w:val="both"/>
        <w:rPr>
          <w:rFonts w:eastAsia="" w:eastAsiaTheme="minorEastAsia"/>
        </w:rPr>
      </w:pPr>
      <w:r>
        <w:rPr>
          <w:rFonts w:eastAsia="" w:eastAsiaTheme="minorEastAsia"/>
        </w:rPr>
      </w:r>
    </w:p>
    <w:p>
      <w:pPr>
        <w:pStyle w:val="ListParagraph"/>
        <w:numPr>
          <w:ilvl w:val="0"/>
          <w:numId w:val="1"/>
        </w:numPr>
        <w:spacing w:lineRule="auto" w:line="240"/>
        <w:ind w:hanging="360" w:left="153" w:right="-568"/>
        <w:jc w:val="both"/>
        <w:rPr>
          <w:rFonts w:eastAsia="" w:eastAsiaTheme="minorEastAsia"/>
        </w:rPr>
      </w:pPr>
      <w:r>
        <w:rPr>
          <w:rFonts w:eastAsia="" w:eastAsiaTheme="minorEastAsia"/>
        </w:rPr>
        <w:t xml:space="preserve">Serão empregados os seguintes insumos: </w:t>
      </w:r>
    </w:p>
    <w:p>
      <w:pPr>
        <w:pStyle w:val="ListParagraph"/>
        <w:numPr>
          <w:ilvl w:val="0"/>
          <w:numId w:val="2"/>
        </w:numPr>
        <w:rPr/>
      </w:pPr>
      <w:r>
        <w:rPr/>
        <w:t>Membrana Condhrogide</w:t>
      </w:r>
    </w:p>
    <w:p>
      <w:pPr>
        <w:pStyle w:val="ListParagraph"/>
        <w:widowControl/>
        <w:numPr>
          <w:ilvl w:val="0"/>
          <w:numId w:val="2"/>
        </w:numPr>
        <w:suppressAutoHyphens w:val="true"/>
        <w:bidi w:val="0"/>
        <w:spacing w:lineRule="auto" w:line="276"/>
        <w:jc w:val="left"/>
        <w:rPr>
          <w:rFonts w:ascii="Calibri" w:hAnsi="Calibri" w:eastAsia="Calibri" w:cs="Calibri"/>
          <w:color w:val="auto"/>
          <w:kern w:val="0"/>
          <w:sz w:val="22"/>
          <w:szCs w:val="22"/>
          <w:lang w:val="pt-BR" w:eastAsia="ja-JP" w:bidi="ar-SA"/>
        </w:rPr>
      </w:pPr>
      <w:r>
        <w:rPr>
          <w:rFonts w:eastAsia="Calibri" w:cs="Calibri"/>
          <w:color w:val="auto"/>
          <w:kern w:val="0"/>
          <w:sz w:val="22"/>
          <w:szCs w:val="22"/>
          <w:lang w:val="pt-BR" w:eastAsia="ja-JP" w:bidi="ar-SA"/>
        </w:rPr>
        <w:t>Cola de Fibrina</w:t>
      </w:r>
    </w:p>
    <w:p>
      <w:pPr>
        <w:pStyle w:val="Normal"/>
        <w:widowControl/>
        <w:suppressAutoHyphens w:val="true"/>
        <w:bidi w:val="0"/>
        <w:spacing w:lineRule="auto" w:line="240" w:before="0" w:after="0"/>
        <w:ind w:hanging="0" w:left="-567" w:right="-170"/>
        <w:jc w:val="both"/>
        <w:rPr/>
      </w:pPr>
      <w:r>
        <w:rPr>
          <w:rFonts w:eastAsia="Calibri" w:cs="Calibri" w:cstheme="minorHAnsi"/>
          <w:b/>
          <w:bCs/>
        </w:rPr>
        <w:t xml:space="preserve">Declaro, adicionalmente, que: </w:t>
      </w:r>
    </w:p>
    <w:p>
      <w:pPr>
        <w:pStyle w:val="Normal"/>
        <w:widowControl/>
        <w:suppressAutoHyphens w:val="true"/>
        <w:bidi w:val="0"/>
        <w:spacing w:lineRule="auto" w:line="240" w:before="0" w:after="0"/>
        <w:ind w:hanging="0" w:left="-567" w:right="-170"/>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170"/>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8. Os registros fotográficos da pele ou lesões, caso ocorram, são autorizados e ficarão limitados aos profissionais de saúde do Grupo  Orizonti.</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10.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eastAsia="Times New Roman" w:cs="Calibri" w:cstheme="minorHAnsi"/>
          <w:color w:val="000000"/>
          <w:lang w:val="pt-PT" w:eastAsia="pt-BR"/>
        </w:rPr>
        <w:t>11. Autorizo a realização de filmagens/fotografias e, caso necessário, a veiculação das referidas imagens para fins científicos. Estou ciente também, que tais procedimentos serão realizados por profissionais indicados pelo(a) meu(minha) médico(a),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57"/>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hanging="0"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283"/>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200"/>
        <w:ind w:hanging="0"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rFonts w:cs="Calibri" w:cstheme="minorHAnsi"/>
          <w:b/>
          <w:bCs/>
          <w:color w:val="auto"/>
          <w:sz w:val="22"/>
          <w:szCs w:val="22"/>
        </w:rPr>
        <w:tab/>
      </w:r>
    </w:p>
    <w:p>
      <w:pPr>
        <w:pStyle w:val="Normal"/>
        <w:tabs>
          <w:tab w:val="clear" w:pos="720"/>
          <w:tab w:val="left" w:pos="3160" w:leader="none"/>
        </w:tabs>
        <w:spacing w:before="0" w:after="200"/>
        <w:rPr/>
      </w:pPr>
      <w:r>
        <w:rPr/>
        <w:tab/>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0"/>
        </w:tabs>
        <w:ind w:left="153" w:hanging="360"/>
      </w:pPr>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2">
    <w:lvl w:ilvl="0">
      <w:start w:val="1"/>
      <w:numFmt w:val="bullet"/>
      <w:lvlText w:val=""/>
      <w:lvlJc w:val="left"/>
      <w:pPr>
        <w:tabs>
          <w:tab w:val="num" w:pos="0"/>
        </w:tabs>
        <w:ind w:left="513" w:hanging="360"/>
      </w:pPr>
      <w:rPr>
        <w:rFonts w:ascii="Symbol" w:hAnsi="Symbol" w:cs="Symbol" w:hint="default"/>
      </w:rPr>
    </w:lvl>
    <w:lvl w:ilvl="1">
      <w:start w:val="1"/>
      <w:numFmt w:val="bullet"/>
      <w:lvlText w:val="o"/>
      <w:lvlJc w:val="left"/>
      <w:pPr>
        <w:tabs>
          <w:tab w:val="num" w:pos="0"/>
        </w:tabs>
        <w:ind w:left="1233" w:hanging="360"/>
      </w:pPr>
      <w:rPr>
        <w:rFonts w:ascii="Courier New" w:hAnsi="Courier New" w:cs="Courier New" w:hint="default"/>
      </w:rPr>
    </w:lvl>
    <w:lvl w:ilvl="2">
      <w:start w:val="1"/>
      <w:numFmt w:val="bullet"/>
      <w:lvlText w:val=""/>
      <w:lvlJc w:val="left"/>
      <w:pPr>
        <w:tabs>
          <w:tab w:val="num" w:pos="0"/>
        </w:tabs>
        <w:ind w:left="1953" w:hanging="360"/>
      </w:pPr>
      <w:rPr>
        <w:rFonts w:ascii="Wingdings" w:hAnsi="Wingdings" w:cs="Wingdings" w:hint="default"/>
      </w:rPr>
    </w:lvl>
    <w:lvl w:ilvl="3">
      <w:start w:val="1"/>
      <w:numFmt w:val="bullet"/>
      <w:lvlText w:val=""/>
      <w:lvlJc w:val="left"/>
      <w:pPr>
        <w:tabs>
          <w:tab w:val="num" w:pos="0"/>
        </w:tabs>
        <w:ind w:left="2673" w:hanging="360"/>
      </w:pPr>
      <w:rPr>
        <w:rFonts w:ascii="Symbol" w:hAnsi="Symbol" w:cs="Symbol" w:hint="default"/>
      </w:rPr>
    </w:lvl>
    <w:lvl w:ilvl="4">
      <w:start w:val="1"/>
      <w:numFmt w:val="bullet"/>
      <w:lvlText w:val="o"/>
      <w:lvlJc w:val="left"/>
      <w:pPr>
        <w:tabs>
          <w:tab w:val="num" w:pos="0"/>
        </w:tabs>
        <w:ind w:left="3393" w:hanging="360"/>
      </w:pPr>
      <w:rPr>
        <w:rFonts w:ascii="Courier New" w:hAnsi="Courier New" w:cs="Courier New" w:hint="default"/>
      </w:rPr>
    </w:lvl>
    <w:lvl w:ilvl="5">
      <w:start w:val="1"/>
      <w:numFmt w:val="bullet"/>
      <w:lvlText w:val=""/>
      <w:lvlJc w:val="left"/>
      <w:pPr>
        <w:tabs>
          <w:tab w:val="num" w:pos="0"/>
        </w:tabs>
        <w:ind w:left="4113" w:hanging="360"/>
      </w:pPr>
      <w:rPr>
        <w:rFonts w:ascii="Wingdings" w:hAnsi="Wingdings" w:cs="Wingdings" w:hint="default"/>
      </w:rPr>
    </w:lvl>
    <w:lvl w:ilvl="6">
      <w:start w:val="1"/>
      <w:numFmt w:val="bullet"/>
      <w:lvlText w:val=""/>
      <w:lvlJc w:val="left"/>
      <w:pPr>
        <w:tabs>
          <w:tab w:val="num" w:pos="0"/>
        </w:tabs>
        <w:ind w:left="4833" w:hanging="360"/>
      </w:pPr>
      <w:rPr>
        <w:rFonts w:ascii="Symbol" w:hAnsi="Symbol" w:cs="Symbol" w:hint="default"/>
      </w:rPr>
    </w:lvl>
    <w:lvl w:ilvl="7">
      <w:start w:val="1"/>
      <w:numFmt w:val="bullet"/>
      <w:lvlText w:val="o"/>
      <w:lvlJc w:val="left"/>
      <w:pPr>
        <w:tabs>
          <w:tab w:val="num" w:pos="0"/>
        </w:tabs>
        <w:ind w:left="5553" w:hanging="360"/>
      </w:pPr>
      <w:rPr>
        <w:rFonts w:ascii="Courier New" w:hAnsi="Courier New" w:cs="Courier New" w:hint="default"/>
      </w:rPr>
    </w:lvl>
    <w:lvl w:ilvl="8">
      <w:start w:val="1"/>
      <w:numFmt w:val="bullet"/>
      <w:lvlText w:val=""/>
      <w:lvlJc w:val="left"/>
      <w:pPr>
        <w:tabs>
          <w:tab w:val="num" w:pos="0"/>
        </w:tabs>
        <w:ind w:left="6273"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Application>LibreOffice/24.2.0.3$Windows_X86_64 LibreOffice_project/da48488a73ddd66ea24cf16bbc4f7b9c08e9bea1</Application>
  <AppVersion>15.0000</AppVersion>
  <Pages>5</Pages>
  <Words>1291</Words>
  <Characters>8746</Characters>
  <CharactersWithSpaces>9986</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2024-12-27T10:27:03Z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