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w:t>
            </w:r>
            <w:r>
              <w:rPr>
                <w:rFonts w:eastAsia="Calibri" w:cs="Calibri" w:cstheme="minorHAnsi"/>
                <w:b/>
                <w:bCs/>
                <w:kern w:val="0"/>
                <w:sz w:val="22"/>
                <w:szCs w:val="22"/>
                <w:lang w:val="pt-BR" w:eastAsia="en-US" w:bidi="ar-SA"/>
              </w:rPr>
              <w:t xml:space="preserve"> Tratamento Cirúrgico da Instabilidade do Ombro por via Artroscópica ou Aberta</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3"/>
        <w:gridCol w:w="7656"/>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6"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w:t>
      </w:r>
      <w:r>
        <w:rPr>
          <w:rFonts w:eastAsia="Calibri" w:cs="Calibri" w:cstheme="minorHAnsi"/>
          <w:b/>
          <w:bCs/>
          <w:kern w:val="0"/>
          <w:sz w:val="22"/>
          <w:szCs w:val="22"/>
          <w:lang w:val="pt-BR" w:eastAsia="en-US" w:bidi="ar-SA"/>
        </w:rPr>
        <w:t xml:space="preserve">Cirúrgico designado </w:t>
      </w:r>
      <w:r>
        <w:rPr>
          <w:rFonts w:eastAsia="Calibri" w:cs="Calibri" w:cstheme="minorHAnsi"/>
          <w:b/>
          <w:bCs/>
          <w:kern w:val="0"/>
          <w:sz w:val="22"/>
          <w:szCs w:val="22"/>
          <w:lang w:val="pt-BR" w:eastAsia="en-US" w:bidi="ar-SA"/>
        </w:rPr>
        <w:t>Tratamento Cirúrgico da Instabilidade do Ombro por via Artroscópica ou Aberta</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widowControl/>
        <w:suppressAutoHyphens w:val="true"/>
        <w:bidi w:val="0"/>
        <w:spacing w:lineRule="auto" w:line="240" w:before="0" w:after="200"/>
        <w:ind w:hanging="0" w:left="-567" w:right="-113"/>
        <w:jc w:val="both"/>
        <w:rPr>
          <w:rFonts w:cs="Calibri" w:cstheme="minorHAnsi"/>
          <w:b/>
          <w:bCs/>
        </w:rPr>
      </w:pPr>
      <w:r>
        <w:rPr>
          <w:rFonts w:cs="Calibri" w:cstheme="minorHAnsi"/>
          <w:b/>
          <w:bCs/>
        </w:rPr>
        <w:t>DIAGNÓSTICO</w:t>
      </w:r>
      <w:r>
        <w:rPr>
          <w:rFonts w:cs="Calibri" w:cstheme="minorHAnsi"/>
        </w:rPr>
        <w:t>:</w:t>
      </w:r>
    </w:p>
    <w:p>
      <w:pPr>
        <w:pStyle w:val="Normal"/>
        <w:spacing w:lineRule="auto" w:line="240"/>
        <w:ind w:left="-567" w:right="-427"/>
        <w:jc w:val="both"/>
        <w:rPr>
          <w:rFonts w:cs="Calibri" w:cstheme="minorHAnsi"/>
        </w:rPr>
      </w:pPr>
      <w:r>
        <w:rPr>
          <w:rFonts w:cs="Calibri" w:cstheme="minorHAnsi"/>
          <w:b/>
          <w:bCs/>
        </w:rPr>
        <w:t>LATERALIDADE</w:t>
      </w:r>
      <w:r>
        <w:rPr>
          <w:rFonts w:cs="Calibri" w:cstheme="minorHAnsi"/>
        </w:rPr>
        <w:t>:</w:t>
      </w:r>
    </w:p>
    <w:p>
      <w:pPr>
        <w:pStyle w:val="Normal"/>
        <w:spacing w:lineRule="auto" w:line="240"/>
        <w:ind w:left="-567" w:right="-427"/>
        <w:jc w:val="both"/>
        <w:rPr>
          <w:rFonts w:cs="Calibri" w:cstheme="minorHAnsi"/>
        </w:rPr>
      </w:pPr>
      <w:r>
        <w:rPr>
          <w:rFonts w:cs="Calibri" w:cstheme="minorHAnsi"/>
          <w:b/>
          <w:bCs/>
        </w:rPr>
        <w:t>DEFINIÇÃO DO PROCEDIMENTO</w:t>
      </w:r>
      <w:r>
        <w:rPr>
          <w:rFonts w:cs="Calibri" w:cstheme="minorHAnsi"/>
        </w:rPr>
        <w:t>: Substituição de uma ou mais partes da articulação do ombro.</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170"/>
        <w:jc w:val="both"/>
        <w:rPr/>
      </w:pPr>
      <w:r>
        <w:rPr/>
        <w:t>Indicação cirúrgica: fratura dos ossos do úmero ou escápula multifragmentada, que sofreram desvio considerável e/ou destruição irreversível, luxação prolongada, destruição degenerativa, inflamatória ou infecciosa da cartilagem articular. Se faz necessária a intervenção cirúrgica para substituir as partes afetadas. Para tanto, serão utilizadas próteses de substituição, que podem ser auxiliadas por parafusos, placas, fios maleáveis ou rígidos, âncoras ou outros materiais, metálicos ou não.</w:t>
      </w:r>
    </w:p>
    <w:p>
      <w:pPr>
        <w:pStyle w:val="Normal"/>
        <w:spacing w:lineRule="auto" w:line="240" w:before="0" w:after="0"/>
        <w:ind w:left="-567" w:right="-568"/>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113"/>
        <w:jc w:val="both"/>
        <w:rPr>
          <w:rFonts w:cs="Calibri" w:cstheme="minorHAnsi"/>
          <w:b/>
          <w:bCs/>
        </w:rPr>
      </w:pPr>
      <w:r>
        <w:rPr>
          <w:rFonts w:cs="Calibri" w:cstheme="minorHAnsi"/>
          <w:b/>
          <w:bCs/>
        </w:rPr>
        <w:t>RISCOS, COMPLICAÇÕES</w:t>
      </w:r>
      <w:r>
        <w:rPr>
          <w:rFonts w:cs="Calibri" w:cstheme="minorHAnsi"/>
          <w:bCs/>
        </w:rPr>
        <w:t>:</w:t>
      </w:r>
    </w:p>
    <w:p>
      <w:pPr>
        <w:pStyle w:val="Normal"/>
        <w:widowControl/>
        <w:suppressAutoHyphens w:val="true"/>
        <w:bidi w:val="0"/>
        <w:spacing w:lineRule="auto" w:line="240" w:before="0" w:after="0"/>
        <w:ind w:hanging="0" w:left="-567" w:right="-170"/>
        <w:jc w:val="both"/>
        <w:rPr/>
      </w:pPr>
      <w:r>
        <w:rPr>
          <w:rFonts w:cs="Calibri" w:cstheme="minorHAnsi"/>
        </w:rPr>
        <w:t xml:space="preserve">Declaro ter sido informado (a) </w:t>
      </w:r>
      <w:r>
        <w:rPr/>
        <w:t>dos riscos e complicações inerentes a quaisquer intervenções cirúrgicas ortopédicas, tais como:</w:t>
      </w:r>
      <w:r>
        <w:rPr>
          <w:rFonts w:cs="Calibri" w:cstheme="minorHAnsi"/>
        </w:rPr>
        <w:t xml:space="preserve"> </w:t>
      </w:r>
      <w:r>
        <w:rPr/>
        <w:t>Infecção superficial e/ou profunda, edema(inchaço e/ou hematoma, deiscência de ferida cirúrgica (ruptura dos pontos ou abertura da ferida cirúrgica), dor pós-operatória, rigidez articular, acidente anestésico, síndrome dolorosa regional complexa (Distrofia Simpático Reflexa e suas variantes), trombose venosa (formação de um coágulo causando obstrução das veias), incapacidade funcional temporária ou definitiva ( para atividades de vida diária, do trabalho, desportivas e outras).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pPr>
      <w:r>
        <w:rPr>
          <w:rFonts w:cs="Calibri" w:cstheme="minorHAnsi"/>
        </w:rPr>
        <w:t xml:space="preserve">Fui também informado (a) de outros riscos específicos </w:t>
      </w:r>
      <w:r>
        <w:rPr/>
        <w:t>do procedimento cirúrgico em questão, a seguir mencionados:</w:t>
      </w:r>
    </w:p>
    <w:p>
      <w:pPr>
        <w:pStyle w:val="Normal"/>
        <w:spacing w:lineRule="auto" w:line="240" w:before="0" w:after="0"/>
        <w:ind w:right="-568"/>
        <w:jc w:val="both"/>
        <w:rPr/>
      </w:pPr>
      <w:r>
        <w:rPr/>
      </w:r>
    </w:p>
    <w:p>
      <w:pPr>
        <w:pStyle w:val="Normal"/>
        <w:spacing w:lineRule="auto" w:line="240" w:before="0" w:after="0"/>
        <w:ind w:left="-567" w:right="-568"/>
        <w:jc w:val="both"/>
        <w:rPr/>
      </w:pPr>
      <w:r>
        <w:rPr/>
        <w:t xml:space="preserve">- COMUNS: edema (inchaço) pós-operatório; sangramento </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283"/>
        <w:jc w:val="both"/>
        <w:rPr/>
      </w:pPr>
      <w:r>
        <w:rPr/>
        <w:t>- INCOMUNS: recidiva (retorno) da instabilidade; formação de cicatriz com perda de movimentos; dano à cartilagem e/ou progressão da artrose; falha de material de síntese (implantes) ou rejeição dos mesmos; falha/soltura/reabsorção de enxertos.</w:t>
      </w:r>
    </w:p>
    <w:p>
      <w:pPr>
        <w:pStyle w:val="Normal"/>
        <w:spacing w:lineRule="auto" w:line="240" w:before="0" w:after="0"/>
        <w:ind w:left="-567" w:right="-568"/>
        <w:jc w:val="both"/>
        <w:rPr/>
      </w:pPr>
      <w:r>
        <w:rPr/>
      </w:r>
    </w:p>
    <w:p>
      <w:pPr>
        <w:pStyle w:val="Normal"/>
        <w:spacing w:lineRule="auto" w:line="240" w:before="0" w:after="0"/>
        <w:ind w:left="-567" w:right="-568"/>
        <w:jc w:val="both"/>
        <w:rPr/>
      </w:pPr>
      <w:r>
        <w:rPr>
          <w:u w:val="single"/>
        </w:rPr>
        <w:t>Fatores em geral que AUMENTAM o risco durante o procedimento e de complicações pós-operatórias:</w:t>
      </w:r>
      <w:r>
        <w:rPr/>
        <w:t xml:space="preserve"> </w:t>
      </w:r>
    </w:p>
    <w:p>
      <w:pPr>
        <w:pStyle w:val="ListParagraph"/>
        <w:numPr>
          <w:ilvl w:val="0"/>
          <w:numId w:val="1"/>
        </w:numPr>
        <w:spacing w:lineRule="auto" w:line="240" w:before="0" w:after="0"/>
        <w:ind w:hanging="360" w:left="153" w:right="-568"/>
        <w:contextualSpacing/>
        <w:jc w:val="both"/>
        <w:rPr/>
      </w:pPr>
      <w:r>
        <w:rPr/>
        <w:t xml:space="preserve">Obesidade </w:t>
      </w:r>
    </w:p>
    <w:p>
      <w:pPr>
        <w:pStyle w:val="ListParagraph"/>
        <w:numPr>
          <w:ilvl w:val="0"/>
          <w:numId w:val="1"/>
        </w:numPr>
        <w:spacing w:lineRule="auto" w:line="240" w:before="0" w:after="0"/>
        <w:ind w:hanging="360" w:left="153" w:right="-568"/>
        <w:contextualSpacing/>
        <w:jc w:val="both"/>
        <w:rPr/>
      </w:pPr>
      <w:r>
        <w:rPr/>
        <w:t xml:space="preserve">Ser fumante </w:t>
      </w:r>
    </w:p>
    <w:p>
      <w:pPr>
        <w:pStyle w:val="ListParagraph"/>
        <w:numPr>
          <w:ilvl w:val="0"/>
          <w:numId w:val="1"/>
        </w:numPr>
        <w:spacing w:lineRule="auto" w:line="240" w:before="0" w:after="0"/>
        <w:ind w:hanging="360" w:left="153" w:right="-568"/>
        <w:contextualSpacing/>
        <w:jc w:val="both"/>
        <w:rPr/>
      </w:pPr>
      <w:r>
        <w:rPr/>
        <w:t xml:space="preserve">Idade avançada </w:t>
      </w:r>
    </w:p>
    <w:p>
      <w:pPr>
        <w:pStyle w:val="ListParagraph"/>
        <w:numPr>
          <w:ilvl w:val="0"/>
          <w:numId w:val="1"/>
        </w:numPr>
        <w:spacing w:lineRule="auto" w:line="240" w:before="0" w:after="0"/>
        <w:ind w:hanging="360" w:left="153" w:right="-568"/>
        <w:contextualSpacing/>
        <w:jc w:val="both"/>
        <w:rPr/>
      </w:pPr>
      <w:r>
        <w:rPr/>
        <w:t xml:space="preserve">Diabetes sem controle adequado </w:t>
      </w:r>
    </w:p>
    <w:p>
      <w:pPr>
        <w:pStyle w:val="ListParagraph"/>
        <w:numPr>
          <w:ilvl w:val="0"/>
          <w:numId w:val="1"/>
        </w:numPr>
        <w:spacing w:lineRule="auto" w:line="240" w:before="0" w:after="0"/>
        <w:ind w:hanging="360" w:left="153" w:right="-568"/>
        <w:contextualSpacing/>
        <w:jc w:val="both"/>
        <w:rPr/>
      </w:pPr>
      <w:r>
        <w:rPr/>
        <w:t xml:space="preserve">Fígado e/ou rim com função rebaixada </w:t>
      </w:r>
    </w:p>
    <w:p>
      <w:pPr>
        <w:pStyle w:val="ListParagraph"/>
        <w:numPr>
          <w:ilvl w:val="0"/>
          <w:numId w:val="1"/>
        </w:numPr>
        <w:spacing w:lineRule="auto" w:line="240" w:before="0" w:after="0"/>
        <w:ind w:hanging="360" w:left="153" w:right="-568"/>
        <w:contextualSpacing/>
        <w:jc w:val="both"/>
        <w:rPr/>
      </w:pPr>
      <w:r>
        <w:rPr/>
        <w:t xml:space="preserve">Hipertensão (pressão alta) </w:t>
      </w:r>
    </w:p>
    <w:p>
      <w:pPr>
        <w:pStyle w:val="ListParagraph"/>
        <w:numPr>
          <w:ilvl w:val="0"/>
          <w:numId w:val="1"/>
        </w:numPr>
        <w:spacing w:lineRule="auto" w:line="240" w:before="0" w:after="0"/>
        <w:ind w:hanging="360" w:left="153" w:right="-568"/>
        <w:contextualSpacing/>
        <w:jc w:val="both"/>
        <w:rPr/>
      </w:pPr>
      <w:r>
        <w:rPr/>
        <w:t xml:space="preserve">Má nutrição </w:t>
      </w:r>
    </w:p>
    <w:p>
      <w:pPr>
        <w:pStyle w:val="ListParagraph"/>
        <w:numPr>
          <w:ilvl w:val="0"/>
          <w:numId w:val="1"/>
        </w:numPr>
        <w:spacing w:lineRule="auto" w:line="240" w:before="0" w:after="0"/>
        <w:ind w:hanging="360" w:left="153" w:right="-568"/>
        <w:contextualSpacing/>
        <w:jc w:val="both"/>
        <w:rPr/>
      </w:pPr>
      <w:r>
        <w:rPr/>
        <w:t xml:space="preserve">Má função pulmonar </w:t>
      </w:r>
    </w:p>
    <w:p>
      <w:pPr>
        <w:pStyle w:val="ListParagraph"/>
        <w:numPr>
          <w:ilvl w:val="0"/>
          <w:numId w:val="1"/>
        </w:numPr>
        <w:spacing w:lineRule="auto" w:line="240" w:before="0" w:after="0"/>
        <w:ind w:hanging="360" w:left="153" w:right="-568"/>
        <w:contextualSpacing/>
        <w:jc w:val="both"/>
        <w:rPr/>
      </w:pPr>
      <w:r>
        <w:rPr/>
        <w:t xml:space="preserve">Histórico de doenças relacionadas a sangramento aumentado </w:t>
      </w:r>
    </w:p>
    <w:p>
      <w:pPr>
        <w:pStyle w:val="ListParagraph"/>
        <w:numPr>
          <w:ilvl w:val="0"/>
          <w:numId w:val="1"/>
        </w:numPr>
        <w:spacing w:lineRule="auto" w:line="240" w:before="0" w:after="0"/>
        <w:ind w:hanging="360" w:left="153" w:right="-568"/>
        <w:contextualSpacing/>
        <w:jc w:val="both"/>
        <w:rPr/>
      </w:pPr>
      <w:r>
        <w:rPr/>
        <w:t xml:space="preserve">Doenças crônicas </w:t>
      </w:r>
    </w:p>
    <w:p>
      <w:pPr>
        <w:pStyle w:val="ListParagraph"/>
        <w:numPr>
          <w:ilvl w:val="0"/>
          <w:numId w:val="1"/>
        </w:numPr>
        <w:spacing w:lineRule="auto" w:line="240" w:before="0" w:after="0"/>
        <w:ind w:hanging="360" w:left="153" w:right="-568"/>
        <w:contextualSpacing/>
        <w:jc w:val="both"/>
        <w:rPr/>
      </w:pPr>
      <w:r>
        <w:rPr/>
        <w:t>Sistema imune deficitário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b/>
          <w:bCs/>
          <w:color w:val="000000"/>
          <w:sz w:val="22"/>
          <w:szCs w:val="22"/>
        </w:rPr>
        <w:t>TRATAMENTOS ALTERNATIVOS</w:t>
      </w:r>
      <w:r>
        <w:rPr>
          <w:rFonts w:cs="Calibri" w:cstheme="minorHAnsi"/>
          <w:bCs/>
          <w:color w:val="000000"/>
          <w:sz w:val="22"/>
          <w:szCs w:val="22"/>
        </w:rPr>
        <w:t>: Não definidos.</w:t>
      </w:r>
    </w:p>
    <w:p>
      <w:pPr>
        <w:pStyle w:val="Normal"/>
        <w:spacing w:lineRule="auto" w:line="240" w:before="0" w:after="0"/>
        <w:ind w:left="-567" w:right="-568"/>
        <w:jc w:val="both"/>
        <w:rPr>
          <w:rFonts w:cs="Calibri" w:cstheme="minorHAnsi"/>
        </w:rPr>
      </w:pPr>
      <w:r>
        <w:rPr/>
      </w:r>
    </w:p>
    <w:p>
      <w:pPr>
        <w:pStyle w:val="Normal"/>
        <w:widowControl/>
        <w:suppressAutoHyphens w:val="true"/>
        <w:bidi w:val="0"/>
        <w:spacing w:lineRule="auto" w:line="240" w:before="0" w:after="0"/>
        <w:ind w:hanging="0" w:left="-567" w:right="-170"/>
        <w:jc w:val="both"/>
        <w:rPr/>
      </w:pPr>
      <w:r>
        <w:rPr>
          <w:rFonts w:eastAsia="Calibri" w:cs="Calibri" w:cstheme="minorHAnsi"/>
          <w:b/>
          <w:bCs/>
        </w:rPr>
        <w:t xml:space="preserve">Declaro, adicionalmente, que: </w:t>
      </w:r>
    </w:p>
    <w:p>
      <w:pPr>
        <w:pStyle w:val="Normal"/>
        <w:widowControl/>
        <w:suppressAutoHyphens w:val="true"/>
        <w:bidi w:val="0"/>
        <w:spacing w:lineRule="auto" w:line="240" w:before="0" w:after="0"/>
        <w:ind w:hanging="0" w:left="-567" w:right="-170"/>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17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8. Os registros fotográficos da pele ou lesões, caso ocorram, são autorizados e ficarão limitados aos profissionais de saúde do Grupo  Orizonti.</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eastAsia="Times New Roman" w:cs="Calibri" w:cstheme="minorHAnsi"/>
          <w:color w:val="000000"/>
          <w:lang w:val="pt-PT" w:eastAsia="pt-BR"/>
        </w:rPr>
        <w:t>11. Autorizo a realização de filmagens/fotografias e, caso necessário, a veiculação das referidas imagens para fins científicos. Estou ciente também, que tais procedimentos serão realizados por profissionais indicados pelo(a) meu(minha) médico(a),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57"/>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Application>LibreOffice/24.2.0.3$Windows_X86_64 LibreOffice_project/da48488a73ddd66ea24cf16bbc4f7b9c08e9bea1</Application>
  <AppVersion>15.0000</AppVersion>
  <Pages>5</Pages>
  <Words>1357</Words>
  <Characters>9220</Characters>
  <CharactersWithSpaces>10518</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2024-12-27T10:06:27Z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