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0"/>
      </w:tblGrid>
      <w:tr>
        <w:trPr>
          <w:trHeight w:val="346" w:hRule="atLeast"/>
        </w:trPr>
        <w:tc>
          <w:tcPr>
            <w:tcW w:w="1020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 Tratamento Cirúrgico Corretivo de Deformidades do Antepé e Artelhos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23"/>
        <w:gridCol w:w="777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42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77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2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77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Tabelacomgrade"/>
        <w:tblW w:w="10200" w:type="dxa"/>
        <w:jc w:val="left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3"/>
        <w:gridCol w:w="7656"/>
      </w:tblGrid>
      <w:tr>
        <w:trPr/>
        <w:tc>
          <w:tcPr>
            <w:tcW w:w="10199" w:type="dxa"/>
            <w:gridSpan w:val="2"/>
            <w:tcBorders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Responsável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Responsável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 do Responsável: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Endereço: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Telefone: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543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656" w:type="dxa"/>
            <w:tcBorders>
              <w:top w:val="nil"/>
              <w:lef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/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Cirúrgico designado </w:t>
      </w:r>
      <w:r>
        <w:rPr>
          <w:rFonts w:eastAsia="Calibri" w:cs="Calibri" w:cstheme="minorHAnsi"/>
          <w:b/>
          <w:bCs/>
          <w:kern w:val="0"/>
          <w:sz w:val="22"/>
          <w:szCs w:val="22"/>
          <w:lang w:val="pt-BR" w:eastAsia="en-US" w:bidi="ar-SA"/>
        </w:rPr>
        <w:t xml:space="preserve">Tratamento Cirúrgico Corretivo de Deformidades do Antepé e Artelhos 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>”), a ser realizado no  Hospital Orizonti,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57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>
          <w:rFonts w:cs="Calibri" w:cstheme="minorHAnsi"/>
          <w:sz w:val="22"/>
          <w:szCs w:val="22"/>
        </w:rPr>
        <w:t>Assim sendo, declaro que o Médico, atendendo ao que determinam os artigos 22 e 34 da Resolução CFM no. 1.931/09 (“</w:t>
      </w:r>
      <w:r>
        <w:rPr>
          <w:rFonts w:cs="Calibri" w:cstheme="minorHAnsi"/>
          <w:sz w:val="22"/>
          <w:szCs w:val="22"/>
          <w:u w:val="single"/>
        </w:rPr>
        <w:t>Código de Ética Médica</w:t>
      </w:r>
      <w:r>
        <w:rPr>
          <w:rFonts w:cs="Calibri" w:cstheme="minorHAnsi"/>
          <w:sz w:val="22"/>
          <w:szCs w:val="22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13"/>
        <w:jc w:val="both"/>
        <w:rPr>
          <w:rFonts w:ascii="Calibri" w:hAnsi="Calibr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DIAGNÓSTICO</w:t>
      </w:r>
      <w:r>
        <w:rPr>
          <w:rFonts w:cs="Calibri" w:cstheme="minorHAnsi"/>
        </w:rPr>
        <w:t>:Deformidade do antepé e artelhos.</w:t>
      </w:r>
    </w:p>
    <w:p>
      <w:pPr>
        <w:pStyle w:val="Normal"/>
        <w:spacing w:lineRule="auto" w:line="240"/>
        <w:ind w:left="-567" w:right="-42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LATERALIDADE</w:t>
      </w:r>
      <w:r>
        <w:rPr>
          <w:rFonts w:cs="Calibri" w:cstheme="minorHAnsi"/>
        </w:rPr>
        <w:t>: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</w:t>
      </w:r>
      <w:r>
        <w:rPr>
          <w:rFonts w:cs="Calibri" w:cstheme="minorHAnsi"/>
        </w:rPr>
        <w:t>:  [Combinação de tenotomias, alongamentos, transposições, osteotomias acompanhadas ou não de osteossíntese com placas, parafusos, ancoras e/ou fios de kirschner, conforme avaliação clínica pelo médico assistente.]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13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RISCOS, COMPLICAÇÕES</w:t>
      </w:r>
      <w:r>
        <w:rPr>
          <w:rFonts w:cs="Calibri" w:cstheme="minorHAnsi"/>
          <w:bCs/>
        </w:rPr>
        <w:t>:</w:t>
      </w:r>
    </w:p>
    <w:p>
      <w:pPr>
        <w:pStyle w:val="NormalWeb"/>
        <w:spacing w:beforeAutospacing="0" w:before="0" w:afterAutospacing="0" w:after="240"/>
        <w:ind w:left="-567" w:right="-427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Alterações da pele tais como epidermólise e necrose superficial e/ou profunda;</w:t>
      </w:r>
    </w:p>
    <w:p>
      <w:pPr>
        <w:pStyle w:val="NormalWeb"/>
        <w:spacing w:beforeAutospacing="0" w:before="0" w:afterAutospacing="0" w:after="240"/>
        <w:ind w:left="-567" w:right="-427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Infecção superficial e/ou profunda no local da cirurgia;</w:t>
      </w:r>
    </w:p>
    <w:p>
      <w:pPr>
        <w:pStyle w:val="NormalWeb"/>
        <w:spacing w:beforeAutospacing="0" w:before="0" w:afterAutospacing="0" w:after="240"/>
        <w:ind w:left="-567" w:right="-427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Trombose venosa profunda e Tromboembolismo, podendo levar a complicações sistêmicas graves;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>
          <w:rFonts w:ascii="Calibri" w:hAnsi="Calibri" w:cs="Calibri" w:asciiTheme="minorHAnsi" w:cstheme="minorHAnsi" w:hAnsiTheme="minorHAnsi"/>
          <w:color w:val="000000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Problemas circulatórios agudos tais com obstrução arterial levando a isquemia do membro e possibilidade de amputação;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específicas do material de síntese tais com falha, soltura, etc...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Não consolidação óssea, havendo a necessidade de reoperação;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Perda da correção inicialmente proposta e/ou falha em obter a correção desejada prevista para o procedimento proposto;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relacionadas ao pós operatório:  Falha na reabilitação, distrofia simpático reflexa, edema residual, dor residual crônica, dor noturna e outras.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Complicações relacionadas com a cicatriz tais com cicatriz hipertrofica e/ou queloide;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Problemas tardios na reabilitação comprometendo o resultado final do procedimento proposto.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Parestesias em determinadas áreas devido à alterações pós operatórias dos nervos periféricos (Neuropraxia, etc.);</w:t>
      </w:r>
    </w:p>
    <w:p>
      <w:pPr>
        <w:pStyle w:val="NormalWeb"/>
        <w:widowControl/>
        <w:suppressAutoHyphens w:val="true"/>
        <w:bidi w:val="0"/>
        <w:spacing w:lineRule="auto" w:line="240" w:beforeAutospacing="0" w:before="0" w:afterAutospacing="0" w:after="240"/>
        <w:ind w:hanging="0" w:left="-567" w:right="-227"/>
        <w:jc w:val="both"/>
        <w:textAlignment w:val="baseline"/>
        <w:rPr/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- Óbito.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170"/>
        <w:jc w:val="both"/>
        <w:rPr>
          <w:rFonts w:cs="Calibri" w:cstheme="minorHAnsi"/>
        </w:rPr>
      </w:pPr>
      <w:r>
        <w:rPr>
          <w:rFonts w:cs="Calibri" w:cstheme="minorHAnsi"/>
          <w:b/>
          <w:bCs/>
          <w:color w:val="000000"/>
          <w:sz w:val="22"/>
          <w:szCs w:val="22"/>
        </w:rPr>
        <w:t>TRATAMENTOS ALTERNATIVOS</w:t>
      </w:r>
      <w:r>
        <w:rPr>
          <w:rFonts w:cs="Calibri" w:cstheme="minorHAnsi"/>
          <w:bCs/>
          <w:color w:val="000000"/>
          <w:sz w:val="22"/>
          <w:szCs w:val="22"/>
        </w:rPr>
        <w:t xml:space="preserve">: Tratamento conservador em deformidades ou afecções do antepé sem indicação cirúrgica com imobilização e/ou órteses.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/>
      </w:pPr>
      <w:r>
        <w:rPr>
          <w:rFonts w:eastAsia="Calibri" w:cs="Calibri" w:cstheme="minorHAnsi"/>
          <w:b/>
          <w:bCs/>
        </w:rPr>
        <w:t xml:space="preserve">Declaro, adicionalmente, que: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170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17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Grupo 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cs="Calibri" w:cstheme="minorHAnsi"/>
        </w:rPr>
        <w:t xml:space="preserve">10. Autorizo a divulgação das informações médicas contidas em meu prontuário, exclusivamente para finalidade científica da Instituição, desde que minha identidade permaneça anônima.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/>
      </w:pPr>
      <w:r>
        <w:rPr>
          <w:rFonts w:eastAsia="Times New Roman" w:cs="Calibri" w:cstheme="minorHAnsi"/>
          <w:color w:val="000000"/>
          <w:lang w:val="pt-PT" w:eastAsia="pt-BR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médico(a), sem qualquer ônus financeiro, presente ou futuro, assegurando o pleno sigilo de minha identidade.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227"/>
        <w:contextualSpacing/>
        <w:jc w:val="both"/>
        <w:rPr>
          <w:rFonts w:ascii="Calibri" w:hAnsi="Calibri"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5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hanging="0"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40" w:before="0" w:after="0"/>
        <w:ind w:hanging="0" w:left="-567" w:right="-283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200"/>
        <w:ind w:hanging="0"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>
          <w:rFonts w:cs="Calibri" w:cstheme="minorHAnsi"/>
          <w:b/>
          <w:bCs/>
          <w:color w:val="auto"/>
          <w:sz w:val="22"/>
          <w:szCs w:val="22"/>
        </w:rPr>
        <w:tab/>
      </w:r>
    </w:p>
    <w:p>
      <w:pPr>
        <w:pStyle w:val="Normal"/>
        <w:tabs>
          <w:tab w:val="clear" w:pos="720"/>
          <w:tab w:val="left" w:pos="3160" w:leader="none"/>
        </w:tabs>
        <w:spacing w:before="0" w:after="200"/>
        <w:rPr/>
      </w:pPr>
      <w:r>
        <w:rPr/>
        <w:tab/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40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LibreOffice/24.2.0.3$Windows_X86_64 LibreOffice_project/da48488a73ddd66ea24cf16bbc4f7b9c08e9bea1</Application>
  <AppVersion>15.0000</AppVersion>
  <Pages>5</Pages>
  <Words>1281</Words>
  <Characters>8753</Characters>
  <CharactersWithSpaces>9982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2024-12-27T10:11:25Z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