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Ressecção de Lesão de Mama por Agulhamento/Roll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Exérese de lesão da mama por marcação estereotáxica ou roll – 30602076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Times New Roman" w:cs="Calibri" w:cstheme="minorHAnsi"/>
          <w:color w:val="000000"/>
          <w:kern w:val="0"/>
          <w:sz w:val="22"/>
          <w:szCs w:val="22"/>
          <w:lang w:val="pt-BR" w:eastAsia="pt-BR" w:bidi="ar-SA"/>
        </w:rPr>
        <w:t>Lesão não-palpável de mama.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 xml:space="preserve"> 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>Ressecção de lesão de mama por agulhamento/ ROLL</w:t>
      </w:r>
    </w:p>
    <w:p>
      <w:pPr>
        <w:pStyle w:val="Default"/>
        <w:ind w:left="-567" w:right="-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É possível que a lesão não seja totalmente ressecada durante a cirurgia e o procedimento precise ser complementado.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idade avançada, anemia, obesidade, tabagismo, etc.), pode trazer uma série de complicações comuns e potencialmente sérias, inclusive o óbito.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Eventuais complicações podem exigir tratamentos complementares tanto clínicos quanto cirúrgicos (avaliar pelo risco cirúrgico prévio).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Hematoma (acúmulo de sangue) no local da cirurgia, sendo eventualmente necessária uma drenagem no bloco cirúrgico.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Seroma (acúmulo de secreção) no local da cirurgia, sendo eventualmente necessária a aspiração com agulha no pós-operatório.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Infecção pós-operatória que pode requerer o uso de antibióticos ou até mesmo a drenagem cirúrgica de coleções purulentas.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Deiscência (ruptura) de suturas, retardando a cicatrização e eventualmente comprometendo o resultado estético.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Contraturas cicatriciais com deformidade da área operada ou distorção da mama e do complexo aréolo-mamilar.</w:t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não há.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LibreOffice/24.2.0.3$Windows_X86_64 LibreOffice_project/da48488a73ddd66ea24cf16bbc4f7b9c08e9bea1</Application>
  <AppVersion>15.0000</AppVersion>
  <Pages>5</Pages>
  <Words>1255</Words>
  <Characters>8503</Characters>
  <CharactersWithSpaces>9703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2024-12-23T16:52:14Z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