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Reparo da Lesão Osteocondral do Joelho - Transplante Osteocondral Autólogo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ja-JP" w:bidi="ar-SA"/>
        </w:rPr>
        <w:t xml:space="preserve"> Reparo da Lesão Osteocondral do Joelho – Transplante Osteocondral Autólogo - CID S83.3 </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DIAGNÓSTICO:</w:t>
      </w:r>
      <w:r>
        <w:rPr>
          <w:rFonts w:eastAsia="Calibri" w:cs="Calibri" w:cstheme="minorHAnsi"/>
          <w:color w:val="auto"/>
          <w:kern w:val="0"/>
          <w:sz w:val="22"/>
          <w:szCs w:val="22"/>
          <w:lang w:val="pt-BR" w:eastAsia="ja-JP" w:bidi="ar-SA"/>
        </w:rPr>
        <w:t xml:space="preserve"> Lesão osteocondral do joelho.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DEFINIÇÃO DO PROCEDIMENTO: </w:t>
      </w:r>
      <w:r>
        <w:rPr>
          <w:rFonts w:eastAsia="Calibri" w:cs="Calibri" w:cstheme="minorHAnsi"/>
          <w:b w:val="false"/>
          <w:bCs w:val="false"/>
          <w:color w:val="auto"/>
          <w:kern w:val="0"/>
          <w:sz w:val="22"/>
          <w:szCs w:val="22"/>
          <w:lang w:val="pt-BR" w:eastAsia="ja-JP" w:bidi="ar-SA"/>
        </w:rPr>
        <w:t>O reparo da lesão osteocondral do joelho e o transplante osteocondral autólogo por mosaicoplastia são procedimentos que visam a correção de lesões relacionadas aos transtornos da cartilagem do paciente. As cirurgias para as correções das lesões da cartilagem variam desde as microperfurações  ou “drilling”, suturas de fragmentos que possam estar parcialmente soltos, fixação de fragmentos com parafusos, cobertura das lesões com membranas de colágeno e cola de fibrina e por fim a substituição da cartilagem por meio de “transplante osteocondral autólogo ou Mosaicoplastia”, quando ocorre a retirada de um cilindro osteocondral autólogo (área doadora) que é devidamente transplantado e posicionado na área  correspondente a lesão (área receptora). Cada uma dessas opções cirúrgicas deve ser avaliada de acordo com as características da lesão do paciente e escolhida a mais adequada para cada caso específico.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RISCOS, COMPLICAÇÕES:</w:t>
      </w:r>
      <w:r>
        <w:rPr>
          <w:rFonts w:eastAsia="Calibri" w:cs="Calibri" w:cstheme="minorHAnsi"/>
          <w:color w:val="auto"/>
          <w:kern w:val="0"/>
          <w:sz w:val="22"/>
          <w:szCs w:val="22"/>
          <w:lang w:val="pt-BR" w:eastAsia="ja-JP" w:bidi="ar-SA"/>
        </w:rPr>
        <w:t xml:space="preserve"> Trombose venosa profunda, infecção do sítio cirúrgico, deiscência de suturas, solturas de parafusos, necrose tecidual local, hematomas e ou seromas na ferida operatória, restrição da amplitude do movimento, dor residual, artrose, instabilidade residual, falência do enxerto ostocondral, corpos livres intrarticulares, óbito.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TRATAMENTOS ALTERNATIVOS:</w:t>
      </w:r>
      <w:r>
        <w:rPr>
          <w:rFonts w:eastAsia="Calibri" w:cs="Calibri" w:cstheme="minorHAnsi"/>
          <w:color w:val="auto"/>
          <w:kern w:val="0"/>
          <w:sz w:val="22"/>
          <w:szCs w:val="22"/>
          <w:lang w:val="pt-BR" w:eastAsia="ja-JP" w:bidi="ar-SA"/>
        </w:rPr>
        <w:t xml:space="preserve"> Revisão do </w:t>
      </w:r>
      <w:r>
        <w:rPr>
          <w:rFonts w:eastAsia="Calibri" w:cs="Calibri" w:cstheme="minorHAnsi"/>
          <w:bCs/>
          <w:color w:val="auto"/>
          <w:kern w:val="0"/>
          <w:sz w:val="22"/>
          <w:szCs w:val="22"/>
          <w:lang w:val="pt-BR" w:eastAsia="ja-JP" w:bidi="ar-SA"/>
        </w:rPr>
        <w:t>Reparo da lesão osteocondral do joelho – transplante osteocondral autólogo</w:t>
      </w:r>
      <w:r>
        <w:rPr>
          <w:rFonts w:eastAsia="Calibri" w:cs="Calibri" w:cstheme="minorHAnsi"/>
          <w:color w:val="auto"/>
          <w:kern w:val="0"/>
          <w:sz w:val="22"/>
          <w:szCs w:val="22"/>
          <w:lang w:val="pt-BR" w:eastAsia="ja-JP" w:bidi="ar-SA"/>
        </w:rPr>
        <w:t xml:space="preserve"> em caso de falência do enxerto osteocondral, tratamento conservador não cirúrgico com medidas restritivas a carga, medidas analgésicas e antinflamatórias, tratamento fisioterapêutico.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Declaro, adicionalmente, que: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eastAsia="Calibri" w:cs="Calibri" w:cstheme="minorHAnsi"/>
          <w:b/>
          <w:bCs/>
          <w:color w:val="auto"/>
          <w:kern w:val="0"/>
          <w:sz w:val="22"/>
          <w:szCs w:val="22"/>
          <w:lang w:val="pt-BR" w:eastAsia="ja-JP" w:bidi="ar-SA"/>
        </w:rPr>
        <w:t>PODERÁ SER NECESSÁRIA A INFUSÃO DE SANGUE E SEUS COMPONENTES (TRANSFUSÃO DE SANGUE) NO PACIENTE.</w:t>
      </w:r>
      <w:r>
        <w:rPr>
          <w:rFonts w:eastAsia="Calibri" w:cs="Calibri" w:cstheme="minorHAnsi"/>
          <w:color w:val="auto"/>
          <w:kern w:val="0"/>
          <w:sz w:val="22"/>
          <w:szCs w:val="22"/>
          <w:lang w:val="pt-BR" w:eastAsia="ja-JP" w:bidi="ar-SA"/>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8. Os registros fotográficos da pele ou lesões, caso ocorram, são autorizados e ficarão limitados aos profissionais de saúde do </w:t>
      </w:r>
      <w:r>
        <w:rPr>
          <w:rFonts w:eastAsia="Calibri" w:cs="Calibri" w:cstheme="minorHAnsi"/>
          <w:color w:val="auto"/>
          <w:kern w:val="0"/>
          <w:sz w:val="22"/>
          <w:szCs w:val="22"/>
          <w:lang w:val="pt-BR" w:eastAsia="ja-JP" w:bidi="ar-SA"/>
        </w:rPr>
        <w:t>Grupo</w:t>
      </w:r>
      <w:r>
        <w:rPr>
          <w:rFonts w:eastAsia="Calibri" w:cs="Calibri" w:cstheme="minorHAnsi"/>
          <w:color w:val="auto"/>
          <w:kern w:val="0"/>
          <w:sz w:val="22"/>
          <w:szCs w:val="22"/>
          <w:lang w:val="pt-BR" w:eastAsia="ja-JP" w:bidi="ar-SA"/>
        </w:rPr>
        <w:t xml:space="preserve"> Orizonti.</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9. Autorizo que qualquer tecido seja removido cirurgicamente e que seja encaminhado para exames complementares, desde que necessário para o esclarecimento diagnóstico ou tratamento.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10. Autorizo a divulgação das informações médicas contidas em meu prontuário, exclusivamente para finalidade científica da Instituição, desde que minha identidade permaneça anônima.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Application>LibreOffice/24.2.0.3$Windows_X86_64 LibreOffice_project/da48488a73ddd66ea24cf16bbc4f7b9c08e9bea1</Application>
  <AppVersion>15.0000</AppVersion>
  <Pages>4</Pages>
  <Words>1299</Words>
  <Characters>8803</Characters>
  <CharactersWithSpaces>10064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2024-12-13T13:51:26Z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