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Reirradiação</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before="0" w:after="20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designado </w:t>
      </w:r>
      <w:r>
        <w:rPr>
          <w:rFonts w:eastAsia="Calibri" w:cs="Calibri" w:cstheme="minorHAnsi"/>
          <w:b/>
          <w:bCs/>
          <w:color w:val="auto"/>
          <w:kern w:val="0"/>
          <w:sz w:val="22"/>
          <w:szCs w:val="22"/>
          <w:lang w:val="pt-BR" w:eastAsia="en-US" w:bidi="ar-SA"/>
        </w:rPr>
        <w:t>Reirradiação</w:t>
      </w:r>
      <w:r>
        <w:rPr>
          <w:rFonts w:eastAsia="Calibri" w:cs="Calibri" w:cstheme="minorHAnsi"/>
          <w:b/>
          <w:bCs/>
          <w:color w:val="auto"/>
          <w:kern w:val="0"/>
          <w:sz w:val="22"/>
          <w:szCs w:val="22"/>
          <w:lang w:val="pt-BR" w:eastAsia="ja-JP" w:bidi="ar-SA"/>
        </w:rPr>
        <w:t xml:space="preserve"> </w:t>
      </w:r>
      <w:r>
        <w:rPr>
          <w:rFonts w:eastAsia="Calibri" w:cs="Calibri" w:cstheme="minorHAnsi"/>
          <w:color w:val="auto"/>
          <w:kern w:val="0"/>
          <w:sz w:val="22"/>
          <w:szCs w:val="22"/>
          <w:lang w:val="pt-BR" w:eastAsia="ja-JP" w:bidi="ar-SA"/>
        </w:rPr>
        <w:t>(o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before="0" w:after="20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before="0" w:after="20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Normal"/>
        <w:spacing w:lineRule="auto" w:line="240"/>
        <w:ind w:left="-567" w:right="-568"/>
        <w:jc w:val="both"/>
        <w:rPr>
          <w:rFonts w:cs="Calibri" w:cstheme="minorHAnsi"/>
        </w:rPr>
      </w:pPr>
      <w:r>
        <w:rPr>
          <w:rFonts w:cs="Calibri" w:cstheme="minorHAnsi"/>
          <w:b/>
          <w:bCs/>
        </w:rPr>
        <w:t>DEFINIÇÃO DO PROCEDIMENTO/EXAME/TRATAMENTO</w:t>
      </w:r>
      <w:r>
        <w:rPr>
          <w:rFonts w:cs="Calibri" w:cstheme="minorHAnsi"/>
        </w:rPr>
        <w:t xml:space="preserve">: A RADIOTERAPIA é uma modalidade terapêutica na qual se utilizam radiações ionizantes na tentativa de destruir células tumorais ou impedir que as mesmas se proliferem. É um método de tratamento local e/ou regional que pode ser indicada de forma exclusiva (única) ou associada a outros métodos aplicados por outros profissionais (por exemplo a Quimioterapia ou a Cirurgia). Quando houver outro tratamento associado os efeitos colaterais devem ser consultados com o profissional responsável pelo mesmo. </w:t>
      </w:r>
    </w:p>
    <w:p>
      <w:pPr>
        <w:pStyle w:val="Normal"/>
        <w:spacing w:lineRule="auto" w:line="240"/>
        <w:ind w:left="-567" w:right="-568"/>
        <w:jc w:val="both"/>
        <w:rPr>
          <w:rFonts w:cs="Calibri" w:cstheme="minorHAnsi"/>
        </w:rPr>
      </w:pPr>
      <w:r>
        <w:rPr>
          <w:rFonts w:cs="Calibri" w:cstheme="minorHAnsi"/>
        </w:rPr>
        <w:t xml:space="preserve">Estas radiações não são visíveis, mas podem trazer diversos efeitos no local onde incidem. Como cada paciente reage de forma diferente à exposição da radiação a depender da fisiologia e condições gerais de saúde de cada indivíduo, os efeitos colaterais podem diferir entre os expostos. </w:t>
      </w:r>
    </w:p>
    <w:p>
      <w:pPr>
        <w:pStyle w:val="Normal"/>
        <w:spacing w:lineRule="auto" w:line="240"/>
        <w:ind w:left="-567" w:right="-568"/>
        <w:jc w:val="both"/>
        <w:rPr>
          <w:rFonts w:cs="Calibri" w:cstheme="minorHAnsi"/>
        </w:rPr>
      </w:pPr>
      <w:r>
        <w:rPr>
          <w:rFonts w:cs="Calibri" w:cstheme="minorHAnsi"/>
        </w:rPr>
        <w:t xml:space="preserve">Na intenção de garantir o controle de qualidade do tratamento poderão ser realizadas marcações temporárias (com tinta) na pele. Sobre essas marcas de tinta poderão ser utilizados fitas adesivas do tipo micropore, esparadrapo ou adesivos plásticos. Os pacientes com alergia a algum desses materiais devem avisar ao médico e sua equipe para a tomada das devidas providências. </w:t>
      </w:r>
    </w:p>
    <w:p>
      <w:pPr>
        <w:pStyle w:val="Normal"/>
        <w:spacing w:lineRule="auto" w:line="240"/>
        <w:ind w:left="-567" w:right="-568"/>
        <w:jc w:val="both"/>
        <w:rPr>
          <w:rFonts w:cs="Calibri" w:cstheme="minorHAnsi"/>
        </w:rPr>
      </w:pPr>
      <w:r>
        <w:rPr>
          <w:rFonts w:cs="Calibri" w:cstheme="minorHAnsi"/>
        </w:rPr>
        <w:t>A área a ser irradiada precisa ser exposta, por este motivo, dentro da sala de tratamento, pode ser necessário a exposição de partes íntimas. Toda a equipe envolvida no serviço é treinada para esta situação para que possamos sempre garantir a privacidade do paciente.</w:t>
      </w:r>
    </w:p>
    <w:p>
      <w:pPr>
        <w:pStyle w:val="ListParagraph"/>
        <w:tabs>
          <w:tab w:val="clear" w:pos="720"/>
          <w:tab w:val="left" w:pos="927" w:leader="none"/>
        </w:tabs>
        <w:spacing w:lineRule="auto" w:line="240"/>
        <w:ind w:left="-567" w:right="-568"/>
        <w:jc w:val="both"/>
        <w:rPr>
          <w:rFonts w:cs="Calibri" w:cstheme="minorHAnsi"/>
        </w:rPr>
      </w:pPr>
      <w:r>
        <w:rPr>
          <w:rFonts w:cs="Calibri" w:cstheme="minorHAnsi"/>
          <w:b/>
          <w:bCs/>
        </w:rPr>
        <w:t>RISCOS, COMPLICAÇÕES, CONTRAINDICAÇÃO:</w:t>
      </w:r>
      <w:r>
        <w:rPr>
          <w:rFonts w:cs="Calibri" w:cstheme="minorHAnsi"/>
        </w:rPr>
        <w:t xml:space="preserve"> Os efeitos colaterais do tratamento podem aparecer durante ou após o término do mesmo e podem ser locais ou sistêmicos. A Reirradiação consiste na utilização de Radioterapia em uma área previamente irradiada. Tal fato implica num risco maior de toxicidades graves, de acordo com o local irradiado. Para ciência de tais efeitos será entregue outro termo de acordo com a topografia. </w:t>
      </w:r>
    </w:p>
    <w:p>
      <w:pPr>
        <w:pStyle w:val="NormalWeb"/>
        <w:tabs>
          <w:tab w:val="clear" w:pos="720"/>
          <w:tab w:val="left" w:pos="8505" w:leader="none"/>
        </w:tabs>
        <w:spacing w:before="280" w:after="280"/>
        <w:ind w:left="-567" w:right="-568"/>
        <w:jc w:val="both"/>
        <w:rPr>
          <w:rFonts w:ascii="Calibri" w:hAnsi="Calibri" w:cs="Calibri" w:asciiTheme="minorHAnsi" w:cstheme="minorHAnsi" w:hAnsiTheme="minorHAnsi"/>
          <w:b/>
          <w:bCs/>
          <w:sz w:val="22"/>
          <w:szCs w:val="22"/>
        </w:rPr>
      </w:pPr>
      <w:r>
        <w:rPr>
          <w:rFonts w:cs="Calibri" w:ascii="Calibri" w:hAnsi="Calibri" w:asciiTheme="minorHAnsi" w:cstheme="minorHAnsi" w:hAnsiTheme="minorHAnsi"/>
          <w:color w:themeColor="text1" w:val="000000"/>
          <w:sz w:val="22"/>
          <w:szCs w:val="22"/>
        </w:rPr>
        <w:t>As consequências referidas acima são próprias do tratamento e podem ocorrer apesar de todas as precauções empregadas e da assertividade técnica da equipe responsável. E apesar do risco aumentado, pelo menos em teoria, os benefícios do tratamento superam os riscos e, portanto, a sua indicação.</w:t>
      </w:r>
    </w:p>
    <w:p>
      <w:pPr>
        <w:pStyle w:val="Normal"/>
        <w:tabs>
          <w:tab w:val="clear" w:pos="720"/>
          <w:tab w:val="left" w:pos="8505" w:leader="none"/>
        </w:tabs>
        <w:spacing w:lineRule="auto" w:line="240"/>
        <w:ind w:left="-567" w:right="-568"/>
        <w:jc w:val="both"/>
        <w:rPr>
          <w:rFonts w:cs="Calibri" w:cstheme="minorHAnsi"/>
          <w:b/>
          <w:bCs/>
          <w:color w:themeColor="text1" w:val="000000"/>
        </w:rPr>
      </w:pPr>
      <w:r>
        <w:rPr>
          <w:rFonts w:eastAsia="Times New Roman" w:cs="Calibri" w:cstheme="minorHAnsi"/>
          <w:color w:themeColor="text1" w:val="000000"/>
          <w:lang w:eastAsia="pt-BR"/>
        </w:rPr>
        <w:t xml:space="preserve">O paciente declara-se ciente que apesar de todos os recursos técnicos disponíveis e precauções empregadas, não há garantia de que o tratamento alcance os resultados desejados e que </w:t>
      </w:r>
      <w:r>
        <w:rPr>
          <w:rFonts w:cs="Calibri" w:cstheme="minorHAnsi"/>
          <w:color w:themeColor="text1" w:val="000000"/>
        </w:rPr>
        <w:t xml:space="preserve">existe o risco da própria doença levar o paciente a óbito. Não há </w:t>
      </w:r>
      <w:r>
        <w:rPr>
          <w:rFonts w:eastAsia="Times New Roman" w:cs="Calibri" w:cstheme="minorHAnsi"/>
          <w:color w:themeColor="text1" w:val="000000"/>
          <w:lang w:eastAsia="pt-BR"/>
        </w:rPr>
        <w:t>exatidão quanto ao resultado pretendido pois depende da evolução da doença, do tratamento e das condições de saúde gerais de cada indivíduo</w:t>
      </w:r>
      <w:r>
        <w:rPr>
          <w:rFonts w:cs="Calibri" w:cstheme="minorHAnsi"/>
          <w:color w:themeColor="text1" w:val="000000"/>
        </w:rPr>
        <w:t xml:space="preserve">. </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t xml:space="preserve">Os tratamentos de radioterapia dependem de equipamentos que podem apresentar problemas técnicos a qualquer momento, independente do zelo, cuidado e medidas adotadas pela instituição de saúde. </w:t>
      </w:r>
      <w:r>
        <w:rPr>
          <w:rFonts w:cs="Calibri" w:cstheme="minorHAnsi"/>
          <w:color w:themeColor="text1" w:val="000000"/>
        </w:rPr>
        <w:t>Nossos equipamentos se adequam às exigências dos órgãos reguladores de tratamento,</w:t>
      </w:r>
      <w:r>
        <w:rPr>
          <w:rFonts w:cs="Calibri" w:cstheme="minorHAnsi"/>
        </w:rPr>
        <w:t xml:space="preserve"> são submetidos a protocolos de manutenção o que minimiza estes tipos de problemas, no entanto, na eventualidade de problemas técnicos, os procedimentos podem ser cancelados e reagendados para outras datas.</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t>O ambiente da radioterapia (incluindo a parte de dentro das salas de tratamento) é monitorado por câmeras e filmado. Os arquivos são protegidos e totalmente sigilosos.</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r>
    </w:p>
    <w:p>
      <w:pPr>
        <w:pStyle w:val="ListParagraph"/>
        <w:tabs>
          <w:tab w:val="clear" w:pos="720"/>
          <w:tab w:val="left" w:pos="973" w:leader="none"/>
          <w:tab w:val="left" w:pos="8505" w:leader="none"/>
        </w:tabs>
        <w:spacing w:lineRule="auto" w:line="240"/>
        <w:ind w:left="-567" w:right="-568"/>
        <w:jc w:val="both"/>
        <w:rPr>
          <w:rFonts w:cs="Calibri" w:cstheme="minorHAnsi"/>
        </w:rPr>
      </w:pPr>
      <w:r>
        <w:rPr>
          <w:rFonts w:cs="Calibri" w:cstheme="minorHAnsi"/>
          <w:b/>
          <w:bCs/>
        </w:rPr>
        <w:t>DAS PACIENTES DO SEXO FEMININO E GRAVIDEZ</w:t>
      </w:r>
      <w:r>
        <w:rPr>
          <w:rFonts w:cs="Calibri" w:cstheme="minorHAnsi"/>
        </w:rPr>
        <w:t xml:space="preserve">: Durante o período de radioterapia, a gravidez deve ser evitada, já </w:t>
      </w:r>
      <w:r>
        <w:rPr>
          <w:rFonts w:cs="Calibri" w:cstheme="minorHAnsi"/>
          <w:spacing w:val="2"/>
        </w:rPr>
        <w:t xml:space="preserve">que </w:t>
      </w:r>
      <w:r>
        <w:rPr>
          <w:rFonts w:cs="Calibri" w:cstheme="minorHAnsi"/>
        </w:rPr>
        <w:t>a radiação utilizada pode causar riscos na formação do feto; qualquer suspeita de gravidez deve ser imediatamente informada à equipe médica.</w:t>
      </w:r>
    </w:p>
    <w:p>
      <w:pPr>
        <w:pStyle w:val="Normal"/>
        <w:widowControl/>
        <w:suppressAutoHyphens w:val="true"/>
        <w:bidi w:val="0"/>
        <w:spacing w:lineRule="auto" w:line="276"/>
        <w:ind w:hanging="0" w:left="-567" w:right="-567"/>
        <w:jc w:val="both"/>
        <w:rPr>
          <w:rFonts w:cs="Calibri" w:cstheme="minorHAnsi"/>
        </w:rPr>
      </w:pPr>
      <w:r>
        <w:rPr>
          <w:rFonts w:cs="Calibri" w:cstheme="minorHAnsi"/>
        </w:rPr>
      </w:r>
    </w:p>
    <w:p>
      <w:pPr>
        <w:pStyle w:val="Normal"/>
        <w:spacing w:lineRule="auto" w:line="240" w:before="0" w:after="0"/>
        <w:ind w:left="-567" w:right="-568"/>
        <w:jc w:val="both"/>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spacing w:lineRule="auto" w:line="240" w:before="0" w:after="0"/>
        <w:ind w:left="-567" w:right="-568"/>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Normal"/>
        <w:spacing w:lineRule="auto" w:line="240" w:before="0" w:after="0"/>
        <w:ind w:right="-568"/>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 xml:space="preserve">5. Os registros fotográficos da pele ou lesões, caso ocorram, são autorizados e ficarão limitados aos profissionais de saúde do  </w:t>
      </w:r>
      <w:r>
        <w:rPr>
          <w:rFonts w:cs="Calibri" w:cstheme="minorHAnsi"/>
        </w:rPr>
        <w:t>Grupo</w:t>
      </w:r>
      <w:r>
        <w:rPr>
          <w:rFonts w:cs="Calibri" w:cstheme="minorHAnsi"/>
        </w:rPr>
        <w:t xml:space="preserve">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6. Autorizo a divulgação das informações médicas contidas em meu prontuário, exclusivamente para finalidade científica da Instituição, desde que minha identidade permaneça anônima.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eastAsia="Calibri" w:cs="Calibri" w:cstheme="minorHAnsi"/>
          <w:color w:val="auto"/>
          <w:kern w:val="0"/>
          <w:sz w:val="22"/>
          <w:szCs w:val="22"/>
          <w:lang w:val="pt-BR" w:eastAsia="ja-JP" w:bidi="ar-SA"/>
        </w:rPr>
        <w:t>7.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BodyText"/>
        <w:ind w:hanging="0" w:left="-567" w:right="194"/>
        <w:jc w:val="both"/>
        <w:rPr>
          <w:rFonts w:ascii="Calibri" w:hAnsi="Calibri" w:eastAsia="Calibri" w:cs="Calibri" w:asciiTheme="minorHAnsi" w:cstheme="minorHAnsi" w:eastAsiaTheme="minorHAnsi" w:hAnsiTheme="minorHAnsi"/>
          <w:sz w:val="22"/>
          <w:szCs w:val="22"/>
          <w:lang w:val="pt-BR" w:eastAsia="en-US" w:bidi="ar-SA"/>
        </w:rPr>
      </w:pPr>
      <w:r>
        <w:rPr>
          <w:rFonts w:eastAsia="Calibri" w:cs="Calibri" w:cstheme="minorHAnsi" w:eastAsiaTheme="minorHAnsi"/>
          <w:sz w:val="22"/>
          <w:szCs w:val="22"/>
          <w:lang w:val="pt-BR" w:eastAsia="en-US" w:bidi="ar-SA"/>
        </w:rPr>
      </w:r>
    </w:p>
    <w:p>
      <w:pPr>
        <w:pStyle w:val="ListParagraph"/>
        <w:widowControl/>
        <w:suppressAutoHyphens w:val="true"/>
        <w:bidi w:val="0"/>
        <w:spacing w:lineRule="auto" w:line="240" w:before="0" w:after="200"/>
        <w:ind w:hanging="0" w:left="-567" w:right="-454"/>
        <w:contextualSpacing/>
        <w:jc w:val="both"/>
        <w:rPr>
          <w:rFonts w:cs="Calibri" w:cstheme="minorHAnsi"/>
        </w:rPr>
      </w:pPr>
      <w:r>
        <w:rPr>
          <w:rFonts w:eastAsia="Calibri" w:cs="Calibri" w:cstheme="minorHAnsi"/>
          <w:color w:val="000000"/>
          <w:kern w:val="0"/>
          <w:sz w:val="22"/>
          <w:szCs w:val="22"/>
          <w:lang w:val="pt-BR" w:eastAsia="en-US" w:bidi="ar-SA"/>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Normal"/>
        <w:numPr>
          <w:ilvl w:val="0"/>
          <w:numId w:val="0"/>
        </w:numPr>
        <w:spacing w:lineRule="auto" w:line="240" w:before="0" w:after="0"/>
        <w:ind w:hanging="0" w:left="-567" w:right="194"/>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10" w:right="-454"/>
        <w:contextualSpacing/>
        <w:jc w:val="both"/>
        <w:rPr>
          <w:rFonts w:ascii="Calibri" w:hAnsi="Calibri" w:eastAsia="Calibri" w:cs="Calibri"/>
          <w:color w:val="000000"/>
          <w:kern w:val="0"/>
          <w:sz w:val="22"/>
          <w:szCs w:val="22"/>
          <w:lang w:val="pt-PT" w:eastAsia="en-US" w:bidi="ar-SA"/>
        </w:rPr>
      </w:pPr>
      <w:r>
        <w:rPr>
          <w:rFonts w:eastAsia="Calibri" w:cs="Calibri"/>
          <w:b w:val="false"/>
          <w:bCs w:val="false"/>
          <w:color w:val="000000"/>
          <w:kern w:val="0"/>
          <w:sz w:val="22"/>
          <w:szCs w:val="22"/>
          <w:lang w:val="pt-PT" w:eastAsia="en-US" w:bidi="ar-SA"/>
        </w:rPr>
        <w:t>Pleno deste entendimento</w:t>
      </w:r>
      <w:r>
        <w:rPr>
          <w:rFonts w:eastAsia="Calibri" w:cs="Calibri"/>
          <w:b/>
          <w:bCs/>
          <w:color w:val="000000"/>
          <w:kern w:val="0"/>
          <w:sz w:val="22"/>
          <w:szCs w:val="22"/>
          <w:lang w:val="pt-PT" w:eastAsia="en-US" w:bidi="ar-SA"/>
        </w:rPr>
        <w:t>, autorizo a realização do Procedimento proposto e dos demais procedimentos aqui estabelecidos.</w:t>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Application>LibreOffice/24.2.0.3$Windows_X86_64 LibreOffice_project/da48488a73ddd66ea24cf16bbc4f7b9c08e9bea1</Application>
  <AppVersion>15.0000</AppVersion>
  <Pages>4</Pages>
  <Words>1194</Words>
  <Characters>7784</Characters>
  <CharactersWithSpaces>8936</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2024-12-18T12:08:40Z</dcterms:modified>
  <cp:revision>77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