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rStyle w:val="Selectable-text"/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Painel Molecular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  <w:t xml:space="preserve">Por este instrumento particular, declaro, para todos os fins de direito que, em especial para fins do disposto nos artigos 6º, III e 39, VI, ambos da Lei 8.078/90 </w:t>
      </w:r>
      <w:r>
        <w:rPr>
          <w:u w:val="single"/>
        </w:rPr>
        <w:t>''Código de Defesa do Consumidor'</w:t>
      </w:r>
      <w:r>
        <w:rPr/>
        <w:t xml:space="preserve">' ou </w:t>
      </w:r>
      <w:r>
        <w:rPr>
          <w:u w:val="single"/>
        </w:rPr>
        <w:t>''CDC''</w:t>
      </w:r>
      <w:r>
        <w:rPr/>
        <w:t>),</w:t>
      </w:r>
      <w:r>
        <w:rPr>
          <w:b/>
          <w:bCs/>
        </w:rPr>
        <w:t xml:space="preserve"> que, sem qualquer vício de vontade ou consentimento, dá total autorização</w:t>
      </w:r>
      <w:r>
        <w:rPr/>
        <w:t xml:space="preserve"> ao médico para proceder às investigações necessárias ao diagnóstico do seu estado de saúde, bem como executar o Procedimento designado Painel Molecular (o ''Procedimento''), a ser realizado em uma das Unidades do Grupo Orizonti.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  <w:t>Assim sendo, declaro que o Médico, atendendo ao que determinam os artigos 22 e 34 da Resolução CFM no. 1.931/09 (“</w:t>
      </w:r>
      <w:r>
        <w:rPr>
          <w:u w:val="single"/>
        </w:rPr>
        <w:t>Código de Ética Médica</w:t>
      </w:r>
      <w:r>
        <w:rPr/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b/>
          <w:bCs/>
        </w:rPr>
        <w:t>DEFINIÇÃO DO PROCEDIMENTO</w:t>
      </w:r>
      <w:r>
        <w:rPr/>
        <w:t>:</w:t>
      </w:r>
      <w:r>
        <w:rPr>
          <w:lang w:val="pt-PT"/>
        </w:rPr>
        <w:t xml:space="preserve"> </w:t>
      </w:r>
      <w:r>
        <w:rPr/>
        <w:t xml:space="preserve">Diagnóstico etiológico da infecção da corrente sanguínea através do painel molecular por </w:t>
      </w:r>
      <w:r>
        <w:rPr>
          <w:i/>
          <w:iCs/>
        </w:rPr>
        <w:t>FilmArray</w:t>
      </w:r>
      <w:r>
        <w:rPr/>
        <w:t xml:space="preserve">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i/>
          <w:iCs/>
        </w:rPr>
        <w:t>FilmArray</w:t>
      </w:r>
      <w:r>
        <w:rPr/>
        <w:t xml:space="preserve"> é um sistema de PCR multiplex automatizado que integra a preparação, amplificação, detecção e análise de amostras em um único sistema. Ele é usado para diagnosticar rapidamente uma variedade de infecções, incluindo respiratórias, gastrointestinais, meningite/encefalite e infecções da corrente sanguínea.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b/>
          <w:bCs/>
          <w:lang w:val="pt-PT"/>
        </w:rPr>
        <w:t>RISCOS, COMPLICAÇÕES</w:t>
      </w:r>
      <w:r>
        <w:rPr>
          <w:lang w:val="pt-PT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b/>
          <w:bCs/>
          <w:u w:val="single"/>
          <w:lang w:val="pt-PT"/>
        </w:rPr>
      </w:pPr>
      <w:r>
        <w:rPr>
          <w:b/>
          <w:bCs/>
          <w:u w:val="single"/>
          <w:lang w:val="pt-PT"/>
        </w:rPr>
        <w:t>Coleta de Cultura</w:t>
      </w:r>
    </w:p>
    <w:p>
      <w:pPr>
        <w:pStyle w:val="Normal"/>
        <w:spacing w:lineRule="auto" w:line="240" w:before="0" w:after="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/>
        <w:t xml:space="preserve">Os riscos implicados na técnica diagnóstica equivalem aos riscos da técnica de cultura convencional e são relacionados à coleta do exame. É importante salientar que a coleta de hemocultura será executada independentemente da realização do painel molecular por </w:t>
      </w:r>
      <w:r>
        <w:rPr>
          <w:i/>
          <w:iCs/>
        </w:rPr>
        <w:t>Filmarray</w:t>
      </w:r>
      <w:r>
        <w:rPr/>
        <w:t xml:space="preserve"> com o objetivo de identificação do micro-organismo pela técnica convencional de cultura em meio específico.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/>
        <w:t>Os principais riscos associados a coleta de hemocultura, sem exaurir as possibilidades, incluem: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Style w:val="Strong"/>
        </w:rPr>
        <w:t>Dor e desconforto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Style w:val="Strong"/>
        </w:rPr>
        <w:t>Hematoma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b/>
          <w:bCs/>
        </w:rPr>
        <w:t>I</w:t>
      </w:r>
      <w:r>
        <w:rPr>
          <w:rStyle w:val="Strong"/>
        </w:rPr>
        <w:t>nfecção</w:t>
      </w:r>
      <w:r>
        <w:rPr/>
        <w:t xml:space="preserve"> (embora a técnica asséptica seja rigorosamente seguida, sempre existe um pequeno risco de infecção no local da punção.)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b/>
          <w:bCs/>
        </w:rPr>
        <w:t>L</w:t>
      </w:r>
      <w:r>
        <w:rPr>
          <w:rStyle w:val="Strong"/>
        </w:rPr>
        <w:t xml:space="preserve">esão nervosa </w:t>
      </w:r>
      <w:r>
        <w:rPr/>
        <w:t>a punção pode lesionar um nervo próximo à veia, causando dormência, formigamento ou fraqueza no membro afetado.</w:t>
      </w:r>
    </w:p>
    <w:p>
      <w:pPr>
        <w:pStyle w:val="Normal"/>
        <w:spacing w:lineRule="auto" w:line="240" w:before="0" w:after="0"/>
        <w:ind w:left="216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b/>
          <w:bCs/>
          <w:u w:val="single"/>
        </w:rPr>
      </w:pPr>
      <w:r>
        <w:rPr>
          <w:b/>
          <w:bCs/>
          <w:u w:val="single"/>
        </w:rPr>
        <w:t>Coleta de Aspirado traqueal ou Lavado bronco alveolar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/>
        <w:t xml:space="preserve">Os riscos implicados a técnica diagnóstica equivalem aos riscos da técnica de coleta de aspirado traqueal ou lavado bronco alveolar convencional e são relacionados à coleta do material biológico. É importante salientar que a coleta do material será executada independentemente da realização do painel molecular por </w:t>
      </w:r>
      <w:r>
        <w:rPr>
          <w:i/>
          <w:iCs/>
        </w:rPr>
        <w:t>Filmarray</w:t>
      </w:r>
      <w:r>
        <w:rPr/>
        <w:t xml:space="preserve"> com o objetivo de identificação do micro-organismo pela técnica convencional de cultura em meio específico.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/>
        <w:t xml:space="preserve">Os principais risco associados à coleta do aspirado traqueal ou lavado bronco alveolar, sem exaurir as possibilidades, são: 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>Hipoxemia</w:t>
      </w:r>
      <w:r>
        <w:rPr>
          <w:rStyle w:val="Strong"/>
          <w:b w:val="false"/>
          <w:bCs w:val="false"/>
        </w:rPr>
        <w:t xml:space="preserve"> (redução oxigenação do sangue)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>Bradicardia</w:t>
      </w:r>
      <w:r>
        <w:rPr>
          <w:rStyle w:val="Strong"/>
          <w:b w:val="false"/>
          <w:bCs w:val="false"/>
        </w:rPr>
        <w:t xml:space="preserve"> (redução da frequência dos batimentos cardíacos)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>Broncoespasmo</w:t>
      </w:r>
      <w:r>
        <w:rPr>
          <w:rStyle w:val="Strong"/>
          <w:b w:val="false"/>
          <w:bCs w:val="false"/>
        </w:rPr>
        <w:t xml:space="preserve"> (</w:t>
      </w:r>
      <w:r>
        <w:rPr/>
        <w:t>contração repentina e involuntária dos músculos que revestem os brônquios, as vias aéreas que levam o ar aos pulmões, causando um estreitamento das vias aéreas, dificultando a passagem do ar)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>T</w:t>
      </w:r>
      <w:r>
        <w:rPr>
          <w:b/>
          <w:bCs/>
        </w:rPr>
        <w:t>rauma</w:t>
      </w:r>
      <w:r>
        <w:rPr/>
        <w:t xml:space="preserve"> (a inserção da sonda pode causar lesões na mucosa traqueal)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>S</w:t>
      </w:r>
      <w:r>
        <w:rPr>
          <w:b/>
          <w:bCs/>
        </w:rPr>
        <w:t>angramento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b/>
          <w:bCs/>
        </w:rPr>
        <w:t>C</w:t>
      </w:r>
      <w:r>
        <w:rPr>
          <w:rStyle w:val="Strong"/>
        </w:rPr>
        <w:t>ontaminação</w:t>
      </w:r>
      <w:r>
        <w:rPr>
          <w:rStyle w:val="Strong"/>
          <w:b w:val="false"/>
          <w:bCs w:val="false"/>
        </w:rPr>
        <w:t xml:space="preserve"> (s</w:t>
      </w:r>
      <w:r>
        <w:rPr/>
        <w:t>e a técnica asséptica não for rigorosamente seguida, pode ocorrer contaminação da amostra ou introdução de microrganismos nas vias aéreas do paciente.</w:t>
      </w:r>
    </w:p>
    <w:p>
      <w:pPr>
        <w:pStyle w:val="Normal"/>
        <w:spacing w:lineRule="auto" w:line="240" w:before="0" w:after="0"/>
        <w:ind w:right="-568"/>
        <w:jc w:val="both"/>
        <w:rPr/>
      </w:pPr>
      <w:r>
        <w:rPr/>
      </w:r>
    </w:p>
    <w:p>
      <w:pPr>
        <w:pStyle w:val="Normal"/>
        <w:spacing w:lineRule="auto" w:line="240" w:before="0" w:after="0"/>
        <w:ind w:right="-568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b/>
          <w:bCs/>
          <w:u w:val="single"/>
        </w:rPr>
      </w:pPr>
      <w:r>
        <w:rPr>
          <w:b/>
          <w:bCs/>
          <w:u w:val="single"/>
        </w:rPr>
        <w:t>Punção Liquórica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/>
        <w:t xml:space="preserve">Os riscos implicados a punção liquórica equivalem aos riscos da técnica convencional de coleta de líquor e são relacionados à punção. É importante salientar que a coleta do material será executada independentemente da realização do painel molecular por </w:t>
      </w:r>
      <w:r>
        <w:rPr>
          <w:i/>
          <w:iCs/>
        </w:rPr>
        <w:t>Filmarray</w:t>
      </w:r>
      <w:r>
        <w:rPr/>
        <w:t xml:space="preserve"> com o objetivo de identificação do micro-organismo pela técnica convencional de cultura em meio específico. 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Style w:val="Strong"/>
        </w:rPr>
      </w:pPr>
      <w:r>
        <w:rPr/>
        <w:t xml:space="preserve">As principais complicações, sem exaurir as possibilidades, são: </w:t>
      </w:r>
    </w:p>
    <w:p>
      <w:pPr>
        <w:pStyle w:val="Normal"/>
        <w:spacing w:lineRule="auto" w:line="240" w:before="0" w:after="0"/>
        <w:ind w:left="-567" w:right="-568"/>
        <w:jc w:val="both"/>
        <w:rPr>
          <w:rStyle w:val="Strong"/>
        </w:rPr>
      </w:pPr>
      <w:r>
        <w:rPr/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>Dor e desconforto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 xml:space="preserve">Sangramento </w:t>
      </w:r>
      <w:r>
        <w:rPr/>
        <w:t>(pode ocorrer sangramento no local da punção ou, em casos mais raros, sangramento no espaço epidural (hematoma espinhal)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Style w:val="Strong"/>
        </w:rPr>
        <w:t xml:space="preserve">Infecção </w:t>
      </w:r>
      <w:r>
        <w:rPr>
          <w:rStyle w:val="Strong"/>
          <w:b w:val="false"/>
          <w:bCs w:val="false"/>
        </w:rPr>
        <w:t>(</w:t>
      </w:r>
      <w:r>
        <w:rPr/>
        <w:t>embora a técnica asséptica seja rigorosamente seguida, existe um pequeno risco de infecção no local da punção ou, em casos muito raros, de meningite).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b/>
          <w:bCs/>
          <w:u w:val="single"/>
        </w:rPr>
      </w:pPr>
      <w:r>
        <w:rPr>
          <w:rStyle w:val="Strong"/>
          <w:b w:val="false"/>
          <w:bCs w:val="false"/>
          <w:u w:val="single"/>
        </w:rPr>
        <w:t>Riscos após o procedimento:</w:t>
      </w:r>
      <w:r>
        <w:rPr>
          <w:b/>
          <w:bCs/>
          <w:u w:val="single"/>
        </w:rPr>
        <w:t xml:space="preserve"> </w:t>
      </w:r>
    </w:p>
    <w:p>
      <w:pPr>
        <w:pStyle w:val="Normal"/>
        <w:spacing w:lineRule="auto" w:line="240" w:before="0" w:after="0"/>
        <w:ind w:left="-567" w:right="-568"/>
        <w:jc w:val="both"/>
        <w:rPr>
          <w:rStyle w:val="Strong"/>
        </w:rPr>
      </w:pPr>
      <w:r>
        <w:rPr/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397" w:left="170" w:right="-113"/>
        <w:contextualSpacing/>
        <w:jc w:val="both"/>
        <w:rPr/>
      </w:pPr>
      <w:r>
        <w:rPr>
          <w:rStyle w:val="Strong"/>
        </w:rPr>
        <w:t>Cefaleia pós-punção</w:t>
      </w:r>
      <w:r>
        <w:rPr>
          <w:rStyle w:val="Strong"/>
          <w:b w:val="false"/>
          <w:bCs w:val="false"/>
        </w:rPr>
        <w:t xml:space="preserve"> (é a complicação mais comum, ocorrendo em até 30% dos pacientes)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397" w:left="170" w:right="-113"/>
        <w:contextualSpacing/>
        <w:jc w:val="both"/>
        <w:rPr/>
      </w:pPr>
      <w:r>
        <w:rPr>
          <w:rStyle w:val="Strong"/>
        </w:rPr>
        <w:t>Hérnia cerebral</w:t>
      </w:r>
      <w:r>
        <w:rPr>
          <w:rStyle w:val="Strong"/>
          <w:b w:val="false"/>
          <w:bCs w:val="false"/>
        </w:rPr>
        <w:t xml:space="preserve"> (é uma complicação rara, mas grave, que pode ocorrer em pacientes com aumento da pressão intracraniana. A hérnia cerebral é o deslocamento de parte do cérebro através de aberturas no crânio)</w:t>
      </w:r>
    </w:p>
    <w:p>
      <w:pPr>
        <w:pStyle w:val="ListParagraph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hanging="397" w:left="170" w:right="-113"/>
        <w:contextualSpacing/>
        <w:jc w:val="both"/>
        <w:rPr/>
      </w:pPr>
      <w:r>
        <w:rPr>
          <w:rStyle w:val="Strong"/>
        </w:rPr>
        <w:t>Lesão nervosa</w:t>
      </w:r>
      <w:r>
        <w:rPr>
          <w:rStyle w:val="Strong"/>
          <w:b w:val="false"/>
          <w:bCs w:val="false"/>
        </w:rPr>
        <w:t xml:space="preserve"> (em casos raros, a agulha pode lesionar um nervo, causando dor, dormência ou fraqueza nas pernas).</w:t>
      </w:r>
    </w:p>
    <w:p>
      <w:pPr>
        <w:pStyle w:val="ListParagraph"/>
        <w:spacing w:lineRule="auto" w:line="240" w:before="0" w:after="0"/>
        <w:ind w:left="153" w:right="-568"/>
        <w:contextualSpacing/>
        <w:jc w:val="both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10" w:right="-170"/>
        <w:jc w:val="both"/>
        <w:rPr/>
      </w:pPr>
      <w:r>
        <w:rPr/>
        <w:t>A realização do painel molecular permite uma rápida identificação do micro-organismo causador da doença e o adequado direcionamento do tratamento de maneira precoce. A rápida identificação do agente causador da doença permite uma evolução favorável do quadro clínico do paciente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10" w:right="-283"/>
        <w:jc w:val="both"/>
        <w:rPr>
          <w:b/>
          <w:bCs/>
        </w:rPr>
      </w:pPr>
      <w:r>
        <w:rPr>
          <w:b/>
          <w:bCs/>
        </w:rPr>
        <w:t xml:space="preserve">TRATAMENTOS ALTERNATIVOS: </w:t>
      </w:r>
      <w:r>
        <w:rPr/>
        <w:t xml:space="preserve">A coleta de culturas e incubação com técnicas convencionais será sempre executada e está em acordo com as melhores práticas médicas, segundo evidências acumuladas durante muitas décadas de tratamento de pacientes graves. </w:t>
      </w:r>
    </w:p>
    <w:p>
      <w:pPr>
        <w:pStyle w:val="Normal"/>
        <w:ind w:left="-51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ind w:left="-567" w:right="-568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153"/>
        <w:jc w:val="both"/>
        <w:rPr>
          <w:rFonts w:eastAsia="Arial Unicode MS" w:cs="Calibri" w:cstheme="minorHAnsi"/>
          <w:lang w:val="pt-PT" w:eastAsia="pt-BR"/>
        </w:rPr>
      </w:pPr>
      <w:r>
        <w:rPr>
          <w:rFonts w:eastAsia="Arial Unicode MS" w:cs="Calibri" w:cstheme="minorHAnsi"/>
          <w:lang w:val="pt-PT" w:eastAsia="pt-BR"/>
        </w:rPr>
      </w:r>
    </w:p>
    <w:p>
      <w:pPr>
        <w:pStyle w:val="Normal"/>
        <w:widowControl/>
        <w:numPr>
          <w:ilvl w:val="0"/>
          <w:numId w:val="7"/>
        </w:numPr>
        <w:suppressAutoHyphens w:val="true"/>
        <w:bidi w:val="0"/>
        <w:spacing w:lineRule="auto" w:line="276"/>
        <w:ind w:hanging="397" w:left="170" w:right="-227"/>
        <w:jc w:val="both"/>
        <w:rPr/>
      </w:pPr>
      <w:r>
        <w:rPr/>
        <w:t>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76" w:before="0" w:after="0"/>
        <w:ind w:hanging="397" w:left="170" w:right="-227"/>
        <w:contextualSpacing/>
        <w:jc w:val="both"/>
        <w:rPr/>
      </w:pP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15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/>
        <w:jc w:val="both"/>
        <w:rPr/>
      </w:pPr>
      <w:r>
        <w:rPr>
          <w:color w:val="000000"/>
          <w:lang w:val="pt-PT"/>
        </w:rPr>
        <w:t>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153"/>
        <w:contextualSpacing/>
        <w:jc w:val="both"/>
        <w:rPr>
          <w:color w:val="000000"/>
          <w:lang w:val="pt-PT"/>
        </w:rPr>
      </w:pPr>
      <w:r>
        <w:rPr>
          <w:color w:val="000000"/>
          <w:lang w:val="pt-PT"/>
        </w:rPr>
      </w:r>
    </w:p>
    <w:p>
      <w:pPr>
        <w:pStyle w:val="ListParagraph"/>
        <w:numPr>
          <w:ilvl w:val="0"/>
          <w:numId w:val="7"/>
        </w:numPr>
        <w:spacing w:lineRule="auto" w:line="276" w:before="0" w:after="0"/>
        <w:contextualSpacing/>
        <w:jc w:val="both"/>
        <w:rPr/>
      </w:pPr>
      <w:r>
        <w:rPr>
          <w:rFonts w:eastAsia="Times New Roman"/>
          <w:color w:val="000000"/>
          <w:lang w:val="pt-PT" w:eastAsia="pt-BR"/>
        </w:rPr>
        <w:t>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76" w:before="0" w:after="0"/>
        <w:ind w:left="-113" w:right="-567"/>
        <w:contextualSpacing/>
        <w:jc w:val="both"/>
        <w:rPr>
          <w:rFonts w:eastAsia="Times New Roman"/>
          <w:color w:val="000000"/>
          <w:lang w:val="pt-PT" w:eastAsia="pt-BR"/>
        </w:rPr>
      </w:pPr>
      <w:r>
        <w:rPr>
          <w:rFonts w:eastAsia="Times New Roman"/>
          <w:color w:val="000000"/>
          <w:lang w:val="pt-PT" w:eastAsia="pt-BR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27"/>
        <w:jc w:val="both"/>
        <w:rPr/>
      </w:pPr>
      <w:r>
        <w:rPr>
          <w:rFonts w:cs="Calibri" w:ascii="Calibri" w:hAnsi="Calibr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/>
      </w:pPr>
      <w:r>
        <w:rPr>
          <w:rFonts w:cs="Calibri" w:ascii="Calibri" w:hAnsi="Calibri"/>
          <w:b/>
          <w:bCs/>
          <w:color w:val="auto"/>
          <w:sz w:val="22"/>
          <w:szCs w:val="22"/>
        </w:rPr>
        <w:t>Pleno deste entendimento, autorizo a realização do Procedimento proposto e dos demais procedimentos aqui estabelecidos.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16"/>
        </w:tabs>
        <w:ind w:left="21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76"/>
        </w:tabs>
        <w:ind w:left="57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36"/>
        </w:tabs>
        <w:ind w:left="93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656"/>
        </w:tabs>
        <w:ind w:left="165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16"/>
        </w:tabs>
        <w:ind w:left="201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36"/>
        </w:tabs>
        <w:ind w:left="273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96"/>
        </w:tabs>
        <w:ind w:left="3096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/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/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/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/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/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/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/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/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">
    <w:name w:val="selectable-text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LibreOffice/24.2.0.3$Windows_X86_64 LibreOffice_project/da48488a73ddd66ea24cf16bbc4f7b9c08e9bea1</Application>
  <AppVersion>15.0000</AppVersion>
  <Pages>5</Pages>
  <Words>1139</Words>
  <Characters>7637</Characters>
  <CharactersWithSpaces>8694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2024-12-13T11:12:48Z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