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(    ) Mielograma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eastAsia="Calibri"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(    ) Biópsia óssea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/>
      </w:pPr>
      <w:r>
        <w:rPr>
          <w:rFonts w:cs="Calibri" w:cstheme="minorHAnsi"/>
        </w:rPr>
        <w:t>Por este instrumento particular, o Paciente, ou o seu Responsável, declara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designado Mielograma / Biópsia Óssea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em uma das unidades do Grupo Orizonti.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”), sugeriu a realização do Procedimento (anteriormente denominado), como parte de meu plano de tratamento e prestou informações detalhadas sobre o estado de saúde do Paciente, diagnóstico e sobre os procedimentos e exames a serem adotados no tratamento sugerido e ora autorizado, em especial as que seguem abaixo:</w:t>
      </w:r>
    </w:p>
    <w:p>
      <w:pPr>
        <w:pStyle w:val="Normal"/>
        <w:spacing w:lineRule="auto" w:line="240"/>
        <w:ind w:left="-567" w:right="-568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ind w:hanging="397" w:left="170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Mielograma </w:t>
      </w:r>
      <w:r>
        <w:rPr>
          <w:rFonts w:cs="Calibri" w:cstheme="minorHAnsi"/>
        </w:rPr>
        <w:t>é a coleta de material de dentro da medula óssea para exames laboratoriais, através de uma agulha na região posterior da bacia, ou em casos selecionados no esterno (osso do peito).</w:t>
      </w:r>
    </w:p>
    <w:p>
      <w:pPr>
        <w:pStyle w:val="ListParagraph"/>
        <w:spacing w:lineRule="auto" w:line="240"/>
        <w:ind w:left="153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ind w:hanging="397" w:left="170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A biópsia óssea</w:t>
      </w:r>
      <w:r>
        <w:rPr>
          <w:rFonts w:cs="Calibri" w:cstheme="minorHAnsi"/>
        </w:rPr>
        <w:t xml:space="preserve"> é a coleta de um pequeno pedaço de osso da medula óssea para exame mais detalhado. Essa coleta ocorre também através de uma agulha na região posterior da bacia.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Esses procedimentos são realizados para: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</w:rPr>
        <w:t>Identificar doenças do sangue ou;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</w:rPr>
        <w:t>Avaliar o sucesso de algum tratamento já realizado.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COMPLICAÇÕES, CONTRAINDICAÇÃO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/>
      </w:pPr>
      <w:r>
        <w:rPr>
          <w:rFonts w:cs="Calibri" w:cstheme="minorHAnsi"/>
        </w:rPr>
        <w:t>1. Sangramento;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/>
      </w:pPr>
      <w:r>
        <w:rPr>
          <w:rFonts w:cs="Calibri" w:cstheme="minorHAnsi"/>
        </w:rPr>
        <w:t>2. Infecção;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/>
      </w:pPr>
      <w:r>
        <w:rPr>
          <w:rFonts w:cs="Calibri" w:cstheme="minorHAnsi"/>
        </w:rPr>
        <w:t>3. Dor local;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/>
      </w:pPr>
      <w:r>
        <w:rPr>
          <w:rFonts w:cs="Calibri" w:cstheme="minorHAnsi"/>
        </w:rPr>
        <w:t>4. Fístula, que é um caminho não cicatrizado entre a pele e a parte interna da bacia.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/>
      </w:pPr>
      <w:r>
        <w:rPr>
          <w:rFonts w:cs="Calibri" w:cstheme="minorHAnsi"/>
        </w:rPr>
        <w:t>5. Fratura, que é a quebra do osso e;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/>
      </w:pPr>
      <w:r>
        <w:rPr>
          <w:rFonts w:cs="Calibri" w:cstheme="minorHAnsi"/>
        </w:rPr>
        <w:t>6. Alergia a anestésicos ou medicamentos para dor, se utilizados.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/>
      </w:pPr>
      <w:r>
        <w:rPr>
          <w:rFonts w:cs="Calibri" w:cstheme="minorHAnsi"/>
        </w:rPr>
        <w:t>7. Raramente, o mielograma realizado no esterno pode levar a inflamação no peito, perfuração do coração e da membrana em volta dele.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</w:rPr>
      </w:pPr>
      <w:r>
        <w:rPr>
          <w:rFonts w:eastAsia="Arial Unicode MS" w:cs="Calibri" w:cstheme="minorHAnsi"/>
          <w:lang w:val="pt-PT" w:eastAsia="pt-BR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Normal"/>
        <w:spacing w:lineRule="auto" w:line="240" w:before="0" w:after="0"/>
        <w:ind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3.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Normal"/>
        <w:spacing w:lineRule="auto" w:line="240" w:before="0" w:after="0"/>
        <w:ind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4.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454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5.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LibreOffice/24.2.0.3$Windows_X86_64 LibreOffice_project/da48488a73ddd66ea24cf16bbc4f7b9c08e9bea1</Application>
  <AppVersion>15.0000</AppVersion>
  <Pages>4</Pages>
  <Words>808</Words>
  <Characters>5490</Characters>
  <CharactersWithSpaces>6246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2024-12-13T13:16:53Z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