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Calibri" w:cstheme="minorHAnsi"/>
                <w:b/>
                <w:bCs/>
                <w:kern w:val="0"/>
                <w:sz w:val="22"/>
                <w:szCs w:val="22"/>
                <w:lang w:val="pt-BR" w:eastAsia="en-US" w:bidi="ar-SA"/>
              </w:rPr>
              <w:t>Microdiscectomia Lombar</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Microdiscectomia Lombar</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 Hérnia Discal Lombar</w:t>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DEFINIÇÃO DO PROCEDIMENTO</w:t>
      </w:r>
      <w:r>
        <w:rPr>
          <w:rFonts w:cs="Calibri" w:cstheme="minorHAnsi"/>
        </w:rPr>
        <w:t>: O procedimento presta-se ao tratamento de descompressão da raiz nervosa comprimida por hérnia discal lombar. Trata-se de um procedimento minimamente invasivo, no qual será realizado pequena incisão, colocação de afastadores minimamente invasivo, utilização de lentes de magnificação (microscópio ou lupa) para descompressão da raiz nervosa através da realização de janela óssea, retirada de ligamento amarelo e hérnia discal lom, para completa liberação neurológica.</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pPr>
      <w:r>
        <w:rPr>
          <w:rFonts w:cs="Calibri" w:cstheme="minorHAnsi"/>
          <w:b/>
          <w:bCs/>
        </w:rPr>
        <w:t>RISCOS, COMPLICAÇÕES</w:t>
      </w:r>
      <w:r>
        <w:rPr>
          <w:rFonts w:cs="Calibri" w:cstheme="minorHAnsi"/>
        </w:rPr>
        <w:t xml:space="preserve">: </w:t>
      </w:r>
    </w:p>
    <w:p>
      <w:pPr>
        <w:pStyle w:val="Normal"/>
        <w:widowControl/>
        <w:numPr>
          <w:ilvl w:val="0"/>
          <w:numId w:val="1"/>
        </w:numPr>
        <w:suppressAutoHyphens w:val="true"/>
        <w:bidi w:val="0"/>
        <w:spacing w:lineRule="auto" w:line="240" w:before="0" w:after="200"/>
        <w:ind w:hanging="454" w:left="0" w:right="0"/>
        <w:jc w:val="both"/>
        <w:rPr>
          <w:rFonts w:cstheme="minorHAnsi"/>
        </w:rPr>
      </w:pPr>
      <w:r>
        <w:rPr>
          <w:rFonts w:cstheme="minorHAnsi"/>
        </w:rPr>
        <w:t>Coagulopatia, trombose (formação de sangue coagulado) e oclusão arterial pulmonar complicada com parada circulatória;</w:t>
      </w:r>
    </w:p>
    <w:p>
      <w:pPr>
        <w:pStyle w:val="Normal"/>
        <w:spacing w:lineRule="auto" w:line="240"/>
        <w:ind w:left="-567" w:right="-568"/>
        <w:jc w:val="both"/>
        <w:rPr>
          <w:rFonts w:cs="Calibri" w:cstheme="minorHAnsi"/>
        </w:rPr>
      </w:pPr>
      <w:r>
        <w:rPr>
          <w:rFonts w:cs="Calibri" w:cstheme="minorHAnsi"/>
        </w:rPr>
        <w:t>•</w:t>
      </w:r>
      <w:r>
        <w:rPr>
          <w:rFonts w:cs="Calibri" w:cstheme="minorHAnsi"/>
        </w:rPr>
        <w:tab/>
        <w:t>Embolia gasosa com parada cardíaca;</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rPr>
        <w:t>•</w:t>
      </w:r>
      <w:r>
        <w:rPr>
          <w:rFonts w:cs="Calibri" w:cstheme="minorHAnsi"/>
        </w:rPr>
        <w:tab/>
        <w:t>Choque (insuficiência cárdio - circulatória) infarto agudo do miocárdio (morte de parte do músculo cardíaco), espasmo arterial (diminuição do calibre da artéria) em todos os órgãos inclusive cérebro (derrame) com subsequente paralisia;</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Suprimento de oxigênio insuficiente para órgãos isolados ou difusamente em todo o sistema circulatório;</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Hemorragia tecidual ou decorrente de pequenos ou grandes vasos sanguíneos complicados com perdas sanguíneas importantes necessitando transfusão sanguínea ou mesmo uma nova cirurgia de urgência;</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Perda sanguínea grande durante a cirurgia pode levar a coagulopatia, choque ou insuficiência renal;</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Infecção causadas por microrganismos podem ocorrer no pós-operatório ou mesmo tardiamente após longos períodos (até anos);</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Infecção de pele ou de tecido cirúrgico, órgãos ou tecidos podem tornar-se desvitalizados ou o corpo todo pode ser afetado por um choque séptico com risco de vida;</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Riscos inerentes a transfusões sanguíneas, inclusive choque devido a intolerância, e doenças infecciosas como hepatite, sífilis, AIDS e outras doenças infecciosas mesmo, apesar dos testes que são feitos nos sangues transfundidos;</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A posição requerida durante a cirurgia na mesa cirúrgica pode levar a úlceras de pressão, lesões de pele, queimaduras, distensão articular, fraturas e outras lesões tal como neuroparalisia, apesar dos cuidados que são tomado;</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Lesões aos nervos e medula espinhal com paralisia e disestesia tal como queimação, formigamento ou dormência.  Cistoplegia e proctoparalisia, paraplegia, tetraplegia e paralisia respiratória para as cirurgias na coluna cervical;</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Lesões às fibras nervosas simpáticas e parassimpáticas podem causar entre outras coisas uma enteroparalisia com indigestão, distúrbio na sensação de quente e frio, alterações na circulação sanguínea, secreção sudorípara, distúrbio na sensação sexual podem ser causados;</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Lesões das podem levar à fistula liquórica com subsequente dor de cabeça e também meningite ou meningoencefalite.</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Lesões ou alterações ao suprimento sanguíneo podem levar à todos condições e complicações descritas acima, podem levar à desvitalização do osso ou da medula.  Em raros casos pode haver formação de uma fistula artério- venosa causada direta ou indiretamente aos vasos sanguíneos, isto pode criar um fluxo reverso com circulação inadequada e formação de coágulo;</w:t>
      </w:r>
    </w:p>
    <w:p>
      <w:pPr>
        <w:pStyle w:val="Normal"/>
        <w:widowControl/>
        <w:suppressAutoHyphens w:val="true"/>
        <w:bidi w:val="0"/>
        <w:spacing w:lineRule="auto" w:line="240" w:before="0" w:after="200"/>
        <w:ind w:hanging="0" w:left="-567" w:right="-170"/>
        <w:jc w:val="both"/>
        <w:rPr/>
      </w:pPr>
      <w:r>
        <w:rPr>
          <w:rFonts w:cs="Calibri" w:cstheme="minorHAnsi"/>
        </w:rPr>
        <w:t>•</w:t>
      </w:r>
      <w:r>
        <w:rPr>
          <w:rFonts w:cs="Calibri" w:cstheme="minorHAnsi"/>
        </w:rPr>
        <w:tab/>
        <w:t>Lesão de pele, intestino e artéria e veias intestinais com hemorragia ou circulação inadequada pode ser causada por cirurgias corretivas por estiramento mecânico;</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rPr>
        <w:t>•</w:t>
      </w:r>
      <w:r>
        <w:rPr>
          <w:rFonts w:cs="Calibri" w:cstheme="minorHAnsi"/>
        </w:rPr>
        <w:tab/>
        <w:t>Lesões oculares com comprometimento incompleto ou completo da capacidade de enxergar (cegueira) são descritas raramente em cirurgias de coluna. Estes riscos são maiores em cirurgias realizadas em decúbito ventral (paciente de barriga para baixo).</w:t>
      </w:r>
    </w:p>
    <w:p>
      <w:pPr>
        <w:pStyle w:val="Normal"/>
        <w:widowControl/>
        <w:numPr>
          <w:ilvl w:val="0"/>
          <w:numId w:val="2"/>
        </w:numPr>
        <w:suppressAutoHyphens w:val="true"/>
        <w:bidi w:val="0"/>
        <w:spacing w:lineRule="auto" w:line="240" w:before="0" w:after="200"/>
        <w:jc w:val="both"/>
        <w:rPr>
          <w:rFonts w:cs="Calibri" w:cstheme="minorHAnsi"/>
        </w:rPr>
      </w:pPr>
      <w:r>
        <w:rPr>
          <w:rFonts w:cs="Calibri" w:cstheme="minorHAnsi"/>
        </w:rPr>
        <w:t xml:space="preserve">Risco de óbito. </w:t>
      </w:r>
    </w:p>
    <w:p>
      <w:pPr>
        <w:pStyle w:val="Normal"/>
        <w:spacing w:lineRule="auto" w:line="240" w:before="0" w:after="0"/>
        <w:ind w:left="-567" w:right="-568"/>
        <w:jc w:val="both"/>
        <w:rPr/>
      </w:pPr>
      <w:r>
        <w:rPr/>
      </w:r>
    </w:p>
    <w:p>
      <w:pPr>
        <w:pStyle w:val="Normal"/>
        <w:widowControl/>
        <w:suppressAutoHyphens w:val="true"/>
        <w:bidi w:val="0"/>
        <w:spacing w:lineRule="auto" w:line="240" w:before="0" w:after="0"/>
        <w:ind w:hanging="0" w:left="-567" w:right="-227"/>
        <w:jc w:val="both"/>
        <w:rPr>
          <w:rFonts w:cs="Calibri" w:cstheme="minorHAnsi"/>
        </w:rPr>
      </w:pPr>
      <w:r>
        <w:rPr>
          <w:rFonts w:cs="Calibri" w:cstheme="minorHAnsi"/>
          <w:b/>
          <w:bCs/>
        </w:rPr>
        <w:t>TRATAMENTOS ALTERNATIVOS</w:t>
      </w:r>
      <w:r>
        <w:rPr>
          <w:rFonts w:cs="Calibri" w:cstheme="minorHAnsi"/>
        </w:rPr>
        <w:t xml:space="preserve">: </w:t>
      </w:r>
      <w:r>
        <w:rPr>
          <w:rFonts w:eastAsia="" w:cs="Calibri" w:cstheme="minorHAnsi"/>
        </w:rPr>
        <w:t>Tratamento cirúrgico de hérnia via endoscópica, tratamento cirúrgico de hérnia discal aberto convencional.</w:t>
      </w:r>
    </w:p>
    <w:p>
      <w:pPr>
        <w:pStyle w:val="Normal"/>
        <w:spacing w:lineRule="auto" w:line="240" w:before="0" w:after="0"/>
        <w:ind w:left="-567" w:right="-568"/>
        <w:jc w:val="both"/>
        <w:rPr>
          <w:rFonts w:eastAsia="Calibri" w:cs="Calibri" w:cstheme="minorHAnsi"/>
          <w:b/>
          <w:bCs/>
        </w:rPr>
      </w:pPr>
      <w:r>
        <w:rPr>
          <w:rFonts w:eastAsia="" w:eastAsiaTheme="minorEastAsia"/>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2">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Application>LibreOffice/24.2.0.3$Windows_X86_64 LibreOffice_project/da48488a73ddd66ea24cf16bbc4f7b9c08e9bea1</Application>
  <AppVersion>15.0000</AppVersion>
  <Pages>5</Pages>
  <Words>1578</Words>
  <Characters>10464</Characters>
  <CharactersWithSpaces>11985</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2024-12-27T09:45:49Z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