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Microcirurgia para Tumor Intracraniano</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Por este instrumento particular, declaro, para todos os fins de direito que, em especial para fins do disposto nos artigos 6º, III e 39, VI, ambos da Lei 8.078/90 (“</w:t>
      </w:r>
      <w:r>
        <w:rPr>
          <w:rFonts w:eastAsia="Calibri" w:cs="Calibri" w:cstheme="minorHAnsi"/>
          <w:color w:val="auto"/>
          <w:kern w:val="0"/>
          <w:sz w:val="22"/>
          <w:szCs w:val="22"/>
          <w:u w:val="single"/>
          <w:lang w:val="pt-BR" w:eastAsia="ja-JP" w:bidi="ar-SA"/>
        </w:rPr>
        <w:t>Código de Defesa do Consumidor</w:t>
      </w:r>
      <w:r>
        <w:rPr>
          <w:rFonts w:eastAsia="Calibri" w:cs="Calibri" w:cstheme="minorHAnsi"/>
          <w:color w:val="auto"/>
          <w:kern w:val="0"/>
          <w:sz w:val="22"/>
          <w:szCs w:val="22"/>
          <w:lang w:val="pt-BR" w:eastAsia="ja-JP" w:bidi="ar-SA"/>
        </w:rPr>
        <w:t>” ou “</w:t>
      </w:r>
      <w:r>
        <w:rPr>
          <w:rFonts w:eastAsia="Calibri" w:cs="Calibri" w:cstheme="minorHAnsi"/>
          <w:color w:val="auto"/>
          <w:kern w:val="0"/>
          <w:sz w:val="22"/>
          <w:szCs w:val="22"/>
          <w:u w:val="single"/>
          <w:lang w:val="pt-BR" w:eastAsia="ja-JP" w:bidi="ar-SA"/>
        </w:rPr>
        <w:t>CDC</w:t>
      </w:r>
      <w:r>
        <w:rPr>
          <w:rFonts w:eastAsia="Calibri" w:cs="Calibri" w:cstheme="minorHAnsi"/>
          <w:color w:val="auto"/>
          <w:kern w:val="0"/>
          <w:sz w:val="22"/>
          <w:szCs w:val="22"/>
          <w:lang w:val="pt-BR" w:eastAsia="ja-JP" w:bidi="ar-SA"/>
        </w:rPr>
        <w:t xml:space="preserve">”), </w:t>
      </w:r>
      <w:r>
        <w:rPr>
          <w:rFonts w:eastAsia="Calibri" w:cs="Calibri" w:cstheme="minorHAnsi"/>
          <w:b/>
          <w:bCs/>
          <w:color w:val="auto"/>
          <w:kern w:val="0"/>
          <w:sz w:val="22"/>
          <w:szCs w:val="22"/>
          <w:lang w:val="pt-BR" w:eastAsia="ja-JP" w:bidi="ar-SA"/>
        </w:rPr>
        <w:t xml:space="preserve">que, sem qualquer vício de vontade ou consentimento, dá total autorização </w:t>
      </w:r>
      <w:r>
        <w:rPr>
          <w:rFonts w:eastAsia="Calibri" w:cs="Calibri" w:cstheme="minorHAnsi"/>
          <w:color w:val="auto"/>
          <w:kern w:val="0"/>
          <w:sz w:val="22"/>
          <w:szCs w:val="22"/>
          <w:lang w:val="pt-BR" w:eastAsia="ja-JP" w:bidi="ar-SA"/>
        </w:rPr>
        <w:t xml:space="preserve">ao médico para proceder às investigações necessárias ao diagnóstico do seu estado de saúde, bem como executar o Procedimento Cirúrgico designado </w:t>
      </w:r>
      <w:r>
        <w:rPr>
          <w:rFonts w:eastAsia="Calibri" w:cs="Calibri" w:cstheme="minorHAnsi"/>
          <w:b/>
          <w:bCs/>
          <w:color w:val="auto"/>
          <w:kern w:val="0"/>
          <w:sz w:val="22"/>
          <w:szCs w:val="22"/>
          <w:lang w:val="pt-BR" w:eastAsia="ja-JP" w:bidi="ar-SA"/>
        </w:rPr>
        <w:t xml:space="preserve">Microcirurgia para Tumor Intracraniano </w:t>
      </w:r>
      <w:r>
        <w:rPr>
          <w:rFonts w:eastAsia="Calibri" w:cs="Calibri" w:cstheme="minorHAnsi"/>
          <w:color w:val="auto"/>
          <w:kern w:val="0"/>
          <w:sz w:val="22"/>
          <w:szCs w:val="22"/>
          <w:lang w:val="pt-BR" w:eastAsia="ja-JP" w:bidi="ar-SA"/>
        </w:rPr>
        <w:t xml:space="preserve"> (o “</w:t>
      </w:r>
      <w:r>
        <w:rPr>
          <w:rFonts w:eastAsia="Calibri" w:cs="Calibri" w:cstheme="minorHAnsi"/>
          <w:color w:val="auto"/>
          <w:kern w:val="0"/>
          <w:sz w:val="22"/>
          <w:szCs w:val="22"/>
          <w:u w:val="single"/>
          <w:lang w:val="pt-BR" w:eastAsia="ja-JP" w:bidi="ar-SA"/>
        </w:rPr>
        <w:t>Procedimento</w:t>
      </w:r>
      <w:r>
        <w:rPr>
          <w:rFonts w:eastAsia="Calibri" w:cs="Calibri" w:cstheme="minorHAnsi"/>
          <w:color w:val="auto"/>
          <w:kern w:val="0"/>
          <w:sz w:val="22"/>
          <w:szCs w:val="22"/>
          <w:lang w:val="pt-BR" w:eastAsia="ja-JP" w:bidi="ar-SA"/>
        </w:rPr>
        <w:t>”),  a ser realizado no Hospital Orizonti, localizado na Avenida José de Patrocínio Pontes, n° 1355, Bairro Mangabeiras, CEP n° 30.210-090, na Cidade de Belo Horizonte, Estado de Minas Gerais.</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Assim sendo, declaro que o Médico, atendendo ao que determinam os artigos 22 e 34 da Resolução CFM no. 1.931/09 (“</w:t>
      </w:r>
      <w:r>
        <w:rPr>
          <w:rFonts w:eastAsia="Calibri" w:cs="Calibri" w:cstheme="minorHAnsi"/>
          <w:color w:val="auto"/>
          <w:kern w:val="0"/>
          <w:sz w:val="22"/>
          <w:szCs w:val="22"/>
          <w:u w:val="single"/>
          <w:lang w:val="pt-BR" w:eastAsia="ja-JP" w:bidi="ar-SA"/>
        </w:rPr>
        <w:t>Código de Ética Médica</w:t>
      </w:r>
      <w:r>
        <w:rPr>
          <w:rFonts w:eastAsia="Calibri" w:cs="Calibri" w:cstheme="minorHAnsi"/>
          <w:color w:val="auto"/>
          <w:kern w:val="0"/>
          <w:sz w:val="22"/>
          <w:szCs w:val="22"/>
          <w:lang w:val="pt-BR" w:eastAsia="ja-JP"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pPr>
      <w:r>
        <w:rPr>
          <w:rFonts w:eastAsia="Calibri" w:cs="Calibri" w:cstheme="minorHAnsi"/>
          <w:b/>
          <w:bCs/>
          <w:color w:val="auto"/>
          <w:kern w:val="0"/>
          <w:sz w:val="22"/>
          <w:szCs w:val="22"/>
          <w:lang w:val="pt-BR" w:eastAsia="ja-JP" w:bidi="ar-SA"/>
        </w:rPr>
        <w:t>DIAGNÓSTICO:</w:t>
      </w:r>
      <w:r>
        <w:rPr>
          <w:rFonts w:eastAsia="Calibri" w:cs="Calibri" w:cstheme="minorHAnsi"/>
          <w:color w:val="auto"/>
          <w:kern w:val="0"/>
          <w:sz w:val="22"/>
          <w:szCs w:val="22"/>
          <w:lang w:val="pt-BR" w:eastAsia="ja-JP" w:bidi="ar-SA"/>
        </w:rPr>
        <w:t xml:space="preserve"> Neoplasia Intracraniana</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pPr>
      <w:r>
        <w:rPr>
          <w:rFonts w:eastAsia="Calibri" w:cs="Calibri" w:cstheme="minorHAnsi"/>
          <w:b/>
          <w:bCs/>
          <w:color w:val="auto"/>
          <w:kern w:val="0"/>
          <w:sz w:val="22"/>
          <w:szCs w:val="22"/>
          <w:lang w:val="pt-BR" w:eastAsia="ja-JP" w:bidi="ar-SA"/>
        </w:rPr>
        <w:t xml:space="preserve">DEFINIÇÃO DO PROCEDIMENTO: </w:t>
      </w:r>
      <w:r>
        <w:rPr>
          <w:rFonts w:eastAsia="Calibri" w:cs="Calibri" w:cstheme="minorHAnsi"/>
          <w:b w:val="false"/>
          <w:bCs w:val="false"/>
          <w:color w:val="auto"/>
          <w:kern w:val="0"/>
          <w:sz w:val="22"/>
          <w:szCs w:val="22"/>
          <w:lang w:val="pt-BR" w:eastAsia="ja-JP" w:bidi="ar-SA"/>
        </w:rPr>
        <w:t>Remoção por técnica microcirúrgica e microscópica de tumores que envolvam o cérebro, tronco cerebral, cerebelo, meninges ou nervos cranianos.</w:t>
      </w:r>
    </w:p>
    <w:p>
      <w:pPr>
        <w:pStyle w:val="ListParagraph"/>
        <w:widowControl/>
        <w:numPr>
          <w:ilvl w:val="0"/>
          <w:numId w:val="0"/>
        </w:numPr>
        <w:suppressAutoHyphens w:val="true"/>
        <w:bidi w:val="0"/>
        <w:spacing w:lineRule="auto" w:line="240"/>
        <w:ind w:hanging="0" w:left="-567" w:right="-227"/>
        <w:jc w:val="both"/>
        <w:rPr>
          <w:rFonts w:eastAsia="Calibri" w:cs="Calibri" w:cstheme="minorHAnsi"/>
          <w:b w:val="false"/>
          <w:bCs w:val="false"/>
          <w:color w:val="auto"/>
          <w:kern w:val="0"/>
          <w:sz w:val="22"/>
          <w:szCs w:val="22"/>
          <w:lang w:val="pt-BR" w:eastAsia="ja-JP" w:bidi="ar-SA"/>
        </w:rPr>
      </w:pPr>
      <w:r>
        <w:rPr>
          <w:rFonts w:eastAsia="Calibri" w:cs="Calibri" w:cstheme="minorHAnsi"/>
          <w:b w:val="false"/>
          <w:bCs w:val="false"/>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pPr>
      <w:r>
        <w:rPr>
          <w:rFonts w:eastAsia="Calibri" w:cs="Calibri" w:cstheme="minorHAnsi"/>
          <w:b/>
          <w:bCs/>
          <w:color w:val="auto"/>
          <w:kern w:val="0"/>
          <w:sz w:val="22"/>
          <w:szCs w:val="22"/>
          <w:lang w:val="pt-BR" w:eastAsia="ja-JP" w:bidi="ar-SA"/>
        </w:rPr>
        <w:t xml:space="preserve">RISCOS, COMPLICAÇÕES: </w:t>
      </w:r>
      <w:r>
        <w:rPr>
          <w:rFonts w:eastAsia="Calibri" w:cs="Calibri" w:cstheme="minorHAnsi"/>
          <w:b w:val="false"/>
          <w:bCs w:val="false"/>
          <w:color w:val="auto"/>
          <w:kern w:val="0"/>
          <w:sz w:val="22"/>
          <w:szCs w:val="22"/>
          <w:lang w:val="pt-BR" w:eastAsia="ja-JP" w:bidi="ar-SA"/>
        </w:rPr>
        <w:t>Sangramento excessivo com necessidade de hemotransfusão, infecções envolvendo pele, subcutâneo, ossos do crânio, meninges e sistema nervoso com necessidade de tratamento cirúrgico sequencial ou medicamentoso prolongado.  Redução ou perda da capacidade de sentir um segmento corpóreo (p. ex. membro superior, face, membro inferior), redução da perda ou capacidade de mover um segmento corpóreo (p. ex membro superior, face, membro inferior), dificuldade ou incapacidade de andar, perda do olfato, perda do paladar, perda da audição, redução do campo visual ou perda da capacidade de enxergar, dificuldade ou incapacidade de entender ou expressar-se por meio de palavras, desenvolvimento ou agravamento de quadros epilépticos com necessidade de tratamento medicamentoso prolongado, alterações da memória ou alterações do entendimento e comportamento. Há pequeno risco de óbito.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b w:val="false"/>
          <w:bCs w:val="false"/>
          <w:color w:val="auto"/>
          <w:kern w:val="0"/>
          <w:sz w:val="22"/>
          <w:szCs w:val="22"/>
          <w:lang w:val="pt-BR" w:eastAsia="ja-JP" w:bidi="ar-SA"/>
        </w:rPr>
      </w:pPr>
      <w:r>
        <w:rPr>
          <w:rFonts w:eastAsia="Calibri" w:cs="Calibri" w:cstheme="minorHAnsi"/>
          <w:b w:val="false"/>
          <w:bCs w:val="false"/>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b/>
          <w:bCs/>
          <w:color w:val="auto"/>
          <w:kern w:val="0"/>
          <w:sz w:val="22"/>
          <w:szCs w:val="22"/>
          <w:lang w:val="pt-BR" w:eastAsia="ja-JP" w:bidi="ar-SA"/>
        </w:rPr>
        <w:t>TRATAMENTOS ALTERNATIVOS:</w:t>
      </w:r>
      <w:r>
        <w:rPr>
          <w:rFonts w:eastAsia="Calibri" w:cs="Calibri" w:cstheme="minorHAnsi"/>
          <w:color w:val="auto"/>
          <w:kern w:val="0"/>
          <w:sz w:val="22"/>
          <w:szCs w:val="22"/>
          <w:lang w:val="pt-BR" w:eastAsia="ja-JP" w:bidi="ar-SA"/>
        </w:rPr>
        <w:t xml:space="preserve"> O tratamento cirúrgico foi indicado como melhor alternativa frente aos riscos trazidos pela doença e suas abordagens. Radiocirurgia, radioterapia e tratamentos medicamentosos foram avaliados como alternativas individualmente e em conjunto e poderão ser associados para ajuvância caso constate-se benefício pós-cirúrgico.</w:t>
      </w:r>
    </w:p>
    <w:p>
      <w:pPr>
        <w:pStyle w:val="Normal"/>
        <w:spacing w:lineRule="auto" w:line="240" w:before="0" w:after="0"/>
        <w:ind w:left="-567" w:right="-568"/>
        <w:jc w:val="both"/>
        <w:rPr>
          <w:rFonts w:cs="Calibri" w:cstheme="minorHAnsi"/>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spacing w:lineRule="auto" w:line="240" w:before="0" w:after="0"/>
        <w:ind w:left="-567" w:right="-568"/>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eastAsia="Calibri" w:cs="Calibri" w:cstheme="minorHAnsi"/>
          <w:b/>
          <w:bCs/>
          <w:color w:val="auto"/>
          <w:kern w:val="0"/>
          <w:sz w:val="22"/>
          <w:szCs w:val="22"/>
          <w:lang w:val="pt-BR" w:eastAsia="ja-JP" w:bidi="ar-SA"/>
        </w:rPr>
        <w:t>PODERÁ SER NECESSÁRIA A INFUSÃO DE SANGUE E SEUS COMPONENTES (TRANSFUSÃO DE SANGUE) NO PACIENTE.</w:t>
      </w:r>
      <w:r>
        <w:rPr>
          <w:rFonts w:eastAsia="Calibri" w:cs="Calibri" w:cstheme="minorHAnsi"/>
          <w:color w:val="auto"/>
          <w:kern w:val="0"/>
          <w:sz w:val="22"/>
          <w:szCs w:val="22"/>
          <w:lang w:val="pt-BR" w:eastAsia="ja-JP" w:bidi="ar-SA"/>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8. Os registros fotográficos da pele ou lesões, caso ocorram, são autorizados e ficarão limitados aos profissionais de saúde do </w:t>
      </w:r>
      <w:r>
        <w:rPr>
          <w:rFonts w:eastAsia="Calibri" w:cs="Calibri" w:cstheme="minorHAnsi"/>
          <w:color w:val="auto"/>
          <w:kern w:val="0"/>
          <w:sz w:val="22"/>
          <w:szCs w:val="22"/>
          <w:lang w:val="pt-BR" w:eastAsia="ja-JP" w:bidi="ar-SA"/>
        </w:rPr>
        <w:t>Grup</w:t>
      </w:r>
      <w:r>
        <w:rPr>
          <w:rFonts w:eastAsia="Calibri" w:cs="Calibri" w:cstheme="minorHAnsi"/>
          <w:color w:val="auto"/>
          <w:kern w:val="0"/>
          <w:sz w:val="22"/>
          <w:szCs w:val="22"/>
          <w:lang w:val="pt-BR" w:eastAsia="ja-JP" w:bidi="ar-SA"/>
        </w:rPr>
        <w:t>o Orizonti.</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9. Autorizo que qualquer tecido seja removido cirurgicamente e que seja encaminhado para exames complementares, desde que necessário para o esclarecimento diagnóstico ou tratamento.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10. Autorizo a divulgação das informações médicas contidas em meu prontuário, exclusivamente para finalidade científica da Instituição, desde que minha identidade permaneça anônima.</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11.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Pleno deste entendimento, </w:t>
      </w:r>
      <w:r>
        <w:rPr>
          <w:rFonts w:eastAsia="Calibri" w:cs="Calibri" w:cstheme="minorHAnsi"/>
          <w:b/>
          <w:bCs/>
          <w:color w:val="auto"/>
          <w:kern w:val="0"/>
          <w:sz w:val="22"/>
          <w:szCs w:val="22"/>
          <w:lang w:val="pt-BR" w:eastAsia="ja-JP" w:bidi="ar-SA"/>
        </w:rPr>
        <w:t>autorizo a realização do tratamento proposto e dos demais procedimentos necessários.</w:t>
      </w:r>
    </w:p>
    <w:p>
      <w:pPr>
        <w:pStyle w:val="ListParagraph"/>
        <w:widowControl/>
        <w:suppressAutoHyphens w:val="true"/>
        <w:bidi w:val="0"/>
        <w:spacing w:lineRule="auto" w:line="360" w:before="120" w:afterAutospacing="1"/>
        <w:ind w:hanging="397" w:left="-227" w:right="-283"/>
        <w:contextualSpacing/>
        <w:jc w:val="both"/>
        <w:rPr>
          <w:rFonts w:ascii="Calibri" w:hAnsi="Calibri" w:eastAsia="Times New Roman" w:cs="Calibri" w:cstheme="minorHAnsi"/>
          <w:b w:val="false"/>
          <w:bCs w:val="false"/>
          <w:color w:val="auto"/>
          <w:kern w:val="0"/>
          <w:lang w:val="pt-BR" w:eastAsia="pt-BR" w:bidi="ar-SA"/>
        </w:rPr>
      </w:pPr>
      <w:r>
        <w:rPr>
          <w:rFonts w:eastAsia="Times New Roman" w:cs="Calibri" w:cstheme="minorHAnsi"/>
          <w:b w:val="false"/>
          <w:bCs w:val="false"/>
          <w:color w:val="auto"/>
          <w:kern w:val="0"/>
          <w:lang w:val="pt-BR" w:eastAsia="pt-BR" w:bidi="ar-SA"/>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Application>LibreOffice/24.2.0.3$Windows_X86_64 LibreOffice_project/da48488a73ddd66ea24cf16bbc4f7b9c08e9bea1</Application>
  <AppVersion>15.0000</AppVersion>
  <Pages>4</Pages>
  <Words>1256</Words>
  <Characters>8593</Characters>
  <CharactersWithSpaces>9807</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2024-12-16T15:44:42Z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