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Metroplastia Laparoscópica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  </w:t>
      </w:r>
      <w:r>
        <w:rPr>
          <w:rFonts w:cs="Calibri" w:cstheme="minorHAnsi"/>
          <w:b/>
          <w:bCs/>
        </w:rPr>
        <w:t>METROPLASTIA LAPAROSCÓPICA – CBHPM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</w:rPr>
        <w:t xml:space="preserve">31303242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</w:rPr>
        <w:t>A Metroplastia consiste em intervenção cirúrgica para tratar útero com formato anormal que interfere na função reprodutiva E/OU interfere negativamente na qualidade de vida da paciente. Quando realizado por laparoscopia, este procedimento é realizado através do uso de equipamentos cirúrgicos que permitem realizar a cirurgia através de pequenos cortes no abdome. Geralmente são utilizados quatro pequenos cortes que vão de meio a 2 cm, e é realizada a insuflação do abdome com gás CO2, cujo objetivo é afastar as paredes abdominais em relação às vísceras, abrindo espaço para realização do procedimento. O útero é submetido a incisões (cortes) seguido de suturas (pontos) para modificar a forma do útero tornando-a mais próxima do normal ou retirando porção que se encontrava alterada, deformada, ou com lesões que deformavam o útero. Após a metroplastia concluída é comum o uso de membranas especiais para recobrir a área uterina suturada com objetivo de diminuir aderências cicatriciais, porém nem sempre esse recurso é usado e depende da avaliação peri-operatória.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Existem riscos inerentes ao procedimento que se relacionam com as atividades de corte, sutura, trações, clampeamentos e dissecções realizadas. As principais complicações são:  Dor no ombro, que está relacionado com o uso do gás CO2 utilizado para distender o abdome; Necessidade de modificação da estratégia cirúrgica, sendo convertida a cirurgia para técnica aberta convencional (isso ocorre quando a equipe cirúrgica se depara com situações imprevistas, as quais dificultam ou impedem a realização da cirurgia através da via laparoscópica, sendo necessário parar o procedimento e abrir o abdome por uma incisão abdominal maior, geralmente maior que 12cm;  Infecções que podem cursar com febre, eliminação de pus pela ferida; necessidade de uso de antibióticos ; sangramentos  com a possível necessidade de transfusão (intra ou pós-operatória); trombose venosa dos membros inferiores e embolia pulmonar; dores devido à posição cirúrgica; hematoma pós operatório que é um acúmulo de sangue no local operado, o que pode requer uma drenagem cirúrgica; traumas sobre a  bexiga, uretra  ou  ureteres; traumas intestinais, o que pode produzir a necessidade de nova intervenção cirúrgica;  fístulas, que são comunicações anormais entre vísceras ocas diferentes, como por exemplo as fístulas vésico-uterinas (comunicação entre a bexiga eo útero, o que leva a perda de urina pela vagina (complicação rara); soltura de pontos (deiscência de pontos) com abertura da ferida operatória e perda dos pontos dados, sendo necessário, eventualmente, nova anestesia para realização de novos pontos em substituição dos que abriram; quelóides (cicatriz alta, espessa e dolorida);  retração cicatricial; necessidade de retirada uterina (perda do útero), o que é incomum, mas quando há a necessidade de realização da retirada uterina, geralmente, isto está associado a sangramento cirúrgico aumentado, risco de óbito.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O principal tratamento alternativo é a cirurgia convencional, também chamada de Metroplastia por via aberta. Os procedimentos alternativos já foram amplamente discutidos durante a definição da cirurgia aqui proposta.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LibreOffice/24.2.0.3$Windows_X86_64 LibreOffice_project/da48488a73ddd66ea24cf16bbc4f7b9c08e9bea1</Application>
  <AppVersion>15.0000</AppVersion>
  <Pages>5</Pages>
  <Words>1541</Words>
  <Characters>10136</Characters>
  <CharactersWithSpaces>11643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2024-12-19T17:12:44Z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