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Mastectomia Simples + Reconstrução com Prótese ou Expansor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Mastectomia simples – 30602157+ Reconstrução da mama com prótese e/ou expansor-Em caso de lesões traumáticas e tumores  - 30602262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(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: C50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: </w:t>
      </w:r>
      <w:r>
        <w:rPr>
          <w:rFonts w:eastAsia="Calibri" w:cs="Calibri" w:cstheme="minorHAnsi"/>
          <w:bCs/>
          <w:color w:themeColor="text1" w:val="000000"/>
          <w:kern w:val="0"/>
          <w:sz w:val="22"/>
          <w:szCs w:val="22"/>
          <w:lang w:val="pt-BR" w:eastAsia="ja-JP" w:bidi="ar-SA"/>
        </w:rPr>
        <w:t>Mastectomia simples + Reconstrução com prótese ou expansor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Default"/>
        <w:ind w:left="-567" w:right="-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Toda intervenção cirúrgica, pela própria técnica cirúrgica ou pelas condições clínicas de cada paciente (diabetes, cardiopatia, hipertensão, idade avançada, anemia, obesidade, etc.), pode trazer uma série de complicações comuns e potencialmente sérias, incluindo óbito.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Eventuais complicações podem exigir tratamentos complementares tanto clínicos quanto cirúrgicos, sendo indispensável a avaliação prévia do risco cirúrgico e anestésico.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Hemorragias intraoperatórias. Em casos extremos com sangramentos muito volumosos pode haver indicação de transfusão sanguínea e/ ou procedimentos para reparo vascular.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Hematoma (acúmulo de sangue) no local da cirurgia, sendo eventualmente necessária uma drenagem no bloco cirúrgico.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Seroma (acúmulo de secreção) no local da cirurgia, sendo eventualmente necessária a aspiração com agulha no pós-operatório. 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Infecção pós-operatória que pode requerer o uso de antibióticos ou até mesmo a drenagem cirúrgica de coleções purulentas. </w:t>
      </w:r>
    </w:p>
    <w:p>
      <w:pPr>
        <w:pStyle w:val="Default"/>
        <w:widowControl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bidi w:val="0"/>
        <w:spacing w:lineRule="auto" w:line="240" w:before="0" w:after="0"/>
        <w:ind w:hanging="397" w:left="-283" w:right="-39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Necrose de retalhos de pele, levando ao retardamento da cicatrização ou até mesmo à “perda” da prótese.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-283" w:right="-39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Linfedema (inchaço do braço), alteração da força e da sensibilidade na face interna do braço após a abordagem cirúrgica axilar.</w:t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TRATAMENTOS ALTERNATIVOS: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não há.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153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  <w:u w:val="single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  <w:b w:val="false"/>
          <w:bCs w:val="false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LibreOffice/24.2.0.3$Windows_X86_64 LibreOffice_project/da48488a73ddd66ea24cf16bbc4f7b9c08e9bea1</Application>
  <AppVersion>15.0000</AppVersion>
  <Pages>5</Pages>
  <Words>1275</Words>
  <Characters>8625</Characters>
  <CharactersWithSpaces>9846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2024-12-23T16:48:41Z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