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Mastectomia Radical Modificada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Mastectomia Radical Modificada (</w:t>
      </w:r>
      <w:r>
        <w:rPr>
          <w:rFonts w:cs="Calibri" w:cstheme="minorHAnsi"/>
        </w:rPr>
        <w:t>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: C50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DEFINIÇÃO DO 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: </w:t>
      </w:r>
      <w:r>
        <w:rPr>
          <w:rFonts w:eastAsia="Calibri" w:cs="Calibri" w:cstheme="minorHAnsi"/>
          <w:bCs/>
          <w:color w:themeColor="text1" w:val="000000"/>
          <w:kern w:val="0"/>
          <w:sz w:val="22"/>
          <w:szCs w:val="22"/>
          <w:lang w:val="pt-BR" w:eastAsia="ja-JP" w:bidi="ar-SA"/>
        </w:rPr>
        <w:t>Mastectomia radical modificada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Default"/>
        <w:ind w:left="-567" w:right="-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Toda intervenção cirúrgica, pela própria técnica cirúrgica ou pelas condições clínicas de cada paciente (diabetes, cardiopatia, hipertensão, idade avançada, anemia, obesidade, etc.), pode trazer uma série de complicações comuns e potencialmente sérias, incluindo óbito. 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Eventuais complicações podem exigir tratamentos complementares tanto clínicos quanto cirúrgicos, sendo indispensável a avaliação prévia do risco cirúrgico e anestésico. 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Hemorragias intraoperatórias. Em casos extremos com sangramentos muito volumosos pode haver indicação de transfusão sanguínea e/ ou procedimentos para reparo vascular.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Hematoma (acúmulo de sangue) no local da cirurgia, sendo eventualmente necessária uma drenagem no bloco cirúrgico.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Seroma (acúmulo de secreção) no local da cirurgia, sendo eventualmente necessária a aspiração com agulha no pós-operatório.  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Infecção pós-operatória que pode requerer o uso de antibióticos ou até mesmo a drenagem cirúrgica de coleções purulentas. 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Necrose de retalhos de pele, levando ao retardamento da cicatrização ou até mesmo à “perda” da prótese.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-283" w:right="-39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Linfedema (inchaço do braço), alteração da força e da sensibilidade na face interna do braço após a abordagem cirúrgica axilar.</w:t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TRATAMENTOS ALTERNATIVOS: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não há.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153" w:right="-568"/>
        <w:jc w:val="both"/>
        <w:rPr/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eastAsia="Arial Unicode MS" w:cs="Calibri" w:cstheme="minorHAnsi"/>
          <w:u w:val="single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  <w:u w:val="single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>
          <w:rFonts w:cs="Calibri" w:cstheme="minorHAnsi"/>
          <w:b w:val="false"/>
          <w:bCs w:val="false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LibreOffice/24.2.0.3$Windows_X86_64 LibreOffice_project/da48488a73ddd66ea24cf16bbc4f7b9c08e9bea1</Application>
  <AppVersion>15.0000</AppVersion>
  <Pages>5</Pages>
  <Words>1250</Words>
  <Characters>8496</Characters>
  <CharactersWithSpaces>9690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2024-12-23T16:49:00Z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