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Linfadenectomia axilar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Linfadenectomia axilar – 30602130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Neoplasia de mama – C50</w:t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  <w:color w:themeColor="text1" w:val="000000"/>
        </w:rPr>
        <w:t>Linfadenectomia axilar</w:t>
      </w:r>
      <w:r>
        <w:rPr>
          <w:rFonts w:cs="Calibri" w:cstheme="minorHAnsi"/>
          <w:b/>
          <w:color w:themeColor="text1" w:val="000000"/>
        </w:rPr>
        <w:t>.</w:t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Default"/>
        <w:spacing w:lineRule="auto" w:line="36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Toda intervenção cirúrgica, pela própria técnica cirúrgica ou pelas condições clínicas de cada paciente (diabetes, cardiopatia, hipertensão, idade avançada, anemia, obesidade, etc.), pode trazer uma série de complicações comuns e potencialmente sérias, incluindo óbito.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20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Eventuais complicações podem exigir tratamentos complementares tanto clínicos quanto cirúrgicos, sendo indispensável a avaliação prévia do risco cirúrgico e anestésico.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Hemorragias intraoperatórias. Em casos extremos com sangramentos muito volumosos pode haver indicação de transfusão sanguínea e/ ou procedimentos para reparo vascular.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Hematoma (acúmulo de sangue) no local da cirurgia, sendo eventualmente necessária uma drenagem no bloco cirúrgico.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Seroma (acúmulo de secreção) no local da cirurgia, sendo eventualmente necessária a aspiração com agulha no pós-operatório. 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Infecção pós-operatória que pode requerer o uso de antibióticos ou até mesmo a drenagem cirúrgica de coleções purulentas. 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Deiscência (ruptura) de suturas, retardando a cicatrização e comprometendo o resultado estético.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Alteração da força e mobilidade do ombro e do braço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Alterações da sensibilidade, principalmente da face interna do braço.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Linfedema (inchaço do braço que consiste no acúmulo de líquidos), por prejuízo da drenagem linfática causada pela ressecção dos vasos linfáticos e de linfonodos axilares.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36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não há.</w:t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serei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/>
        <w:t xml:space="preserve">2. </w:t>
      </w:r>
      <w:r>
        <w:rPr>
          <w:rFonts w:cs="Calibri" w:cstheme="minorHAnsi"/>
        </w:rPr>
        <w:t>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5</w:t>
      </w:r>
      <w:r>
        <w:rPr>
          <w:rFonts w:cs="Calibri" w:cstheme="minorHAnsi"/>
        </w:rPr>
        <w:t xml:space="preserve">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</w:t>
      </w:r>
      <w:r>
        <w:rPr>
          <w:rFonts w:cs="Calibri" w:cstheme="minorHAnsi"/>
        </w:rPr>
        <w:t xml:space="preserve">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7.</w:t>
      </w:r>
      <w:r>
        <w:rPr>
          <w:rFonts w:cs="Calibri" w:cstheme="minorHAnsi"/>
        </w:rPr>
        <w:t>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"/>
        </w:tabs>
        <w:ind w:left="1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33"/>
        </w:tabs>
        <w:ind w:left="12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13"/>
        </w:tabs>
        <w:ind w:left="23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-207" w:hanging="360"/>
      </w:pPr>
      <w:rPr/>
    </w:lvl>
    <w:lvl w:ilvl="1">
      <w:start w:val="1"/>
      <w:numFmt w:val="decimal"/>
      <w:lvlText w:val="%2."/>
      <w:lvlJc w:val="left"/>
      <w:pPr>
        <w:tabs>
          <w:tab w:val="num" w:pos="153"/>
        </w:tabs>
        <w:ind w:left="153" w:hanging="360"/>
      </w:pPr>
      <w:rPr/>
    </w:lvl>
    <w:lvl w:ilvl="2">
      <w:start w:val="1"/>
      <w:numFmt w:val="decimal"/>
      <w:lvlText w:val="%3."/>
      <w:lvlJc w:val="left"/>
      <w:pPr>
        <w:tabs>
          <w:tab w:val="num" w:pos="513"/>
        </w:tabs>
        <w:ind w:left="513" w:hanging="360"/>
      </w:pPr>
      <w:rPr/>
    </w:lvl>
    <w:lvl w:ilvl="3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  <w:rPr/>
    </w:lvl>
    <w:lvl w:ilvl="4">
      <w:start w:val="1"/>
      <w:numFmt w:val="decimal"/>
      <w:lvlText w:val="%5."/>
      <w:lvlJc w:val="left"/>
      <w:pPr>
        <w:tabs>
          <w:tab w:val="num" w:pos="1233"/>
        </w:tabs>
        <w:ind w:left="1233" w:hanging="360"/>
      </w:pPr>
      <w:rPr/>
    </w:lvl>
    <w:lvl w:ilvl="5">
      <w:start w:val="1"/>
      <w:numFmt w:val="decimal"/>
      <w:lvlText w:val="%6."/>
      <w:lvlJc w:val="left"/>
      <w:pPr>
        <w:tabs>
          <w:tab w:val="num" w:pos="1593"/>
        </w:tabs>
        <w:ind w:left="1593" w:hanging="360"/>
      </w:pPr>
      <w:rPr/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/>
    </w:lvl>
    <w:lvl w:ilvl="7">
      <w:start w:val="1"/>
      <w:numFmt w:val="decimal"/>
      <w:lvlText w:val="%8."/>
      <w:lvlJc w:val="left"/>
      <w:pPr>
        <w:tabs>
          <w:tab w:val="num" w:pos="2313"/>
        </w:tabs>
        <w:ind w:left="2313" w:hanging="360"/>
      </w:pPr>
      <w:rPr/>
    </w:lvl>
    <w:lvl w:ilvl="8">
      <w:start w:val="1"/>
      <w:numFmt w:val="decimal"/>
      <w:lvlText w:val="%9."/>
      <w:lvlJc w:val="left"/>
      <w:pPr>
        <w:tabs>
          <w:tab w:val="num" w:pos="2673"/>
        </w:tabs>
        <w:ind w:left="2673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LibreOffice/24.2.0.3$Windows_X86_64 LibreOffice_project/da48488a73ddd66ea24cf16bbc4f7b9c08e9bea1</Application>
  <AppVersion>15.0000</AppVersion>
  <Pages>5</Pages>
  <Words>1274</Words>
  <Characters>8617</Characters>
  <CharactersWithSpaces>9825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2024-12-23T14:40:17Z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