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jc w:val="center"/>
        <w:rPr>
          <w:b/>
          <w:bCs/>
          <w:sz w:val="24"/>
          <w:szCs w:val="24"/>
        </w:rPr>
      </w:pPr>
      <w:r>
        <w:rPr>
          <w:b/>
          <w:bCs/>
          <w:sz w:val="24"/>
          <w:szCs w:val="24"/>
        </w:rPr>
      </w:r>
    </w:p>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nas Lesões Secundárias nos Ossos</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Radioterapia nas Lesões Secundárias nos Ossos</w:t>
      </w:r>
      <w:r>
        <w:rPr>
          <w:rFonts w:cs="Calibri" w:cstheme="minorHAnsi"/>
        </w:rPr>
        <w:t xml:space="preserve"> (o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DEFINIÇÃO DO PROCEDIMENTO/EXAME/TRATAMENTO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spacing w:lineRule="auto" w:line="240"/>
        <w:ind w:left="-567" w:right="-568"/>
        <w:jc w:val="both"/>
        <w:rPr>
          <w:rFonts w:cs="Calibri" w:cstheme="minorHAnsi"/>
        </w:rPr>
      </w:pPr>
      <w:r>
        <w:rPr>
          <w:rFonts w:cs="Calibri" w:cstheme="minorHAnsi"/>
        </w:rPr>
        <w:t xml:space="preserve">Estas radiações não são visíveis, mas podem trazer diversos efeitos no local onde incidem. Como cada paciente reage de forma diferente à exposição da radiação a depender da fisiologia e condições gerais de saúde de cada indivíduo, os efeitos colaterais podem diferir entre os expostos. </w:t>
      </w:r>
    </w:p>
    <w:p>
      <w:pPr>
        <w:pStyle w:val="Normal"/>
        <w:spacing w:lineRule="auto" w:line="240"/>
        <w:ind w:left="-567" w:right="-568"/>
        <w:jc w:val="both"/>
        <w:rPr>
          <w:rFonts w:cs="Calibri" w:cstheme="minorHAnsi"/>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spacing w:lineRule="auto" w:line="240"/>
        <w:ind w:left="-567" w:right="-568"/>
        <w:jc w:val="both"/>
        <w:rPr>
          <w:rFonts w:cs="Calibri" w:cstheme="minorHAnsi"/>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spacing w:lineRule="auto" w:line="240"/>
        <w:ind w:left="-567" w:right="-568"/>
        <w:jc w:val="both"/>
        <w:rPr>
          <w:rFonts w:cs="Calibri" w:cstheme="minorHAnsi"/>
        </w:rPr>
      </w:pPr>
      <w:r>
        <w:rPr>
          <w:rFonts w:cs="Calibri" w:cstheme="minorHAnsi"/>
          <w:b/>
          <w:bCs/>
        </w:rPr>
        <w:t>RISCOS, COMPLICAÇÕES, CONTRAINDICAÇÃO:</w:t>
      </w:r>
      <w:r>
        <w:rPr>
          <w:rFonts w:cs="Calibri" w:cstheme="minorHAnsi"/>
        </w:rPr>
        <w:t xml:space="preserve"> alguns efeitos possíveis são comuns a todos os tipos de radioterapia como fadiga ou cansaço, fraqueza, alteração do apetite. Na maioria das vezes desaparecem após o término do tratamento. Todos os órgãos atingidos pela radiação podem apresentar algum tipo de efeito colateral.</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rPr>
        <w:t>No local irradiado e de forma precoce poderão surgir: reações na pele como vermelhidão, descamação ou úlceras; perda de pelos, bolhas e em casos extremos necrose; febre; falta de ar; tosse; dor no tórax; dificuldade ou dor para engolir; náuseas; vômitos; fadiga; perda de peso; desidratação; pneumonite (inflamação dos pulmões); sangramento ao tossir; alteração da função cardíaca (com problemas cardíacos); necrose de traquéia / brônquios (vias aéreas); alterações urinárias como aumento da frequência, dor; obstrução do canal da urina; sangue na urina e perda involuntária da urina; alterações intestinais como cólicas, dor ao evacuar, sangramento, aumento no número de evacuações, diarreia e inflamação das hemorroidas; alterações nas funções dos nervos da pelve, incluindo possibilidade de impotência sexual e dor neuropática; alterações ósseas / articulares com dor e dificuldade de movimentação; inchaço (edema) de membros inferiores; alterações hematológicas; alterações neurológicas; mielite (inflamação da medula). Pode haver aumento da dor já existente no local do tratamento, sendo na maioria dos casos de forma transitória. Na maior parte dos pacientes estes efeitos desaparecem ou melhoram significativamente após o término da radioterapia.</w:t>
      </w:r>
    </w:p>
    <w:p>
      <w:pPr>
        <w:pStyle w:val="Normal"/>
        <w:spacing w:lineRule="auto" w:line="240"/>
        <w:ind w:left="-567" w:right="-568"/>
        <w:jc w:val="both"/>
        <w:rPr>
          <w:rFonts w:cs="Calibri" w:cstheme="minorHAnsi"/>
        </w:rPr>
      </w:pPr>
      <w:r>
        <w:rPr>
          <w:rFonts w:cs="Calibri" w:cstheme="minorHAnsi"/>
        </w:rPr>
        <w:t xml:space="preserve">Localmente e tardiamente (meses após o término do tratamento) poderão ocorrer fibrose da pele da região irradiada, fístula (comunicação) entre órgãos e estenose (estreitamento) de órgãos internos levando inclusive a necessidade de procedimentos cirúrgicos para correção das mesmas. Piora da falta de ar; piora da dor torácica; piora da tosse; sangramento ao tossir; fratura de costela ou outros ossos; pneumonite; fibrose de partes do pulmão (cicatrização com piora da função); alteração da função cardíaca (com problemas cardíacos); irritação crônica / fibrose do esôfago com dificuldade e dor para deglutir; aparecimento de fístulas com o esôfago ou com vias aéreas (comunicação entre estas estruturas); piora do sangramento retal e úlceras com necessidade de correção cirúrgica; piora dos sintomas urinários com risco de obstrução grave e necessidade de intervenção cirúrgica; necrose de órgãos (bexiga, reto, intestino ou fêmur por exemplo); fibrose entre alças intestinais; impotência sexual; disfunção grave dos nervos; infertilidade; alterações hormonais alterações neurológicas com disfunção associada; alteração na medula (mielite actínica); perda parcial das funções pulmonares (pneumonite crônica), cardíacas (cardiopatia actínica), hepáticas (hepatites actínicas) e perda total das funções medulares (milelite tranversa) com consequente paraplegia (evento extremamente raro).  </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as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before="0" w:after="0"/>
        <w:ind w:left="-567" w:right="-568"/>
        <w:contextualSpacing/>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 w:val="left" w:pos="8505" w:leader="none"/>
        </w:tabs>
        <w:spacing w:lineRule="auto" w:line="240" w:before="0" w:after="0"/>
        <w:ind w:left="-567" w:right="-568"/>
        <w:contextualSpacing/>
        <w:jc w:val="both"/>
        <w:rPr>
          <w:rFonts w:cs="Calibri" w:cstheme="minorHAnsi"/>
        </w:rPr>
      </w:pPr>
      <w:r>
        <w:rPr>
          <w:rFonts w:cs="Calibri" w:cstheme="minorHAnsi"/>
        </w:rPr>
      </w:r>
    </w:p>
    <w:p>
      <w:pPr>
        <w:pStyle w:val="ListParagraph"/>
        <w:tabs>
          <w:tab w:val="clear" w:pos="720"/>
          <w:tab w:val="left" w:pos="973" w:leader="none"/>
          <w:tab w:val="left" w:pos="8505" w:leader="none"/>
        </w:tabs>
        <w:spacing w:lineRule="auto" w:line="240" w:before="0" w:after="0"/>
        <w:ind w:left="-567" w:right="-568"/>
        <w:contextualSpacing/>
        <w:jc w:val="both"/>
        <w:rPr>
          <w:rFonts w:cs="Calibri" w:cstheme="minorHAnsi"/>
        </w:rPr>
      </w:pPr>
      <w:r>
        <w:rPr>
          <w:rFonts w:cs="Calibri" w:cstheme="minorHAnsi"/>
          <w:b/>
          <w:bCs/>
        </w:rPr>
        <w:t>DAS PACIENTES DO SEXO FEMININO E GRAVIDEZ</w:t>
      </w:r>
      <w:r>
        <w:rPr>
          <w:rFonts w:cs="Calibri" w:cstheme="minorHAnsi"/>
        </w:rPr>
        <w:t xml:space="preserve">: Durante o período de radioterapia, a gravidez deve ser evitada, já </w:t>
      </w:r>
      <w:r>
        <w:rPr>
          <w:rFonts w:cs="Calibri" w:cstheme="minorHAnsi"/>
          <w:spacing w:val="2"/>
        </w:rPr>
        <w:t xml:space="preserve">que </w:t>
      </w:r>
      <w:r>
        <w:rPr>
          <w:rFonts w:cs="Calibri" w:cstheme="minorHAnsi"/>
        </w:rPr>
        <w:t>a radiação utilizada pode causar riscos na formação do feto; qualquer suspeita de gravidez deve ser imediatamente informada à equipe médica.</w:t>
      </w:r>
    </w:p>
    <w:p>
      <w:pPr>
        <w:pStyle w:val="ListParagraph"/>
        <w:tabs>
          <w:tab w:val="clear" w:pos="720"/>
          <w:tab w:val="left" w:pos="973" w:leader="none"/>
          <w:tab w:val="left" w:pos="8505" w:leader="none"/>
        </w:tabs>
        <w:spacing w:lineRule="auto" w:line="240" w:before="0" w:after="0"/>
        <w:ind w:left="-567" w:right="-568"/>
        <w:contextualSpacing/>
        <w:jc w:val="both"/>
        <w:rPr>
          <w:rFonts w:cs="Calibri" w:cstheme="minorHAnsi"/>
        </w:rPr>
      </w:pPr>
      <w:r>
        <w:rPr>
          <w:rFonts w:cs="Calibri" w:cstheme="minorHAnsi"/>
        </w:rPr>
      </w:r>
    </w:p>
    <w:p>
      <w:pPr>
        <w:pStyle w:val="Normal"/>
        <w:spacing w:lineRule="auto" w:line="240"/>
        <w:ind w:left="-567" w:right="-568"/>
        <w:jc w:val="both"/>
        <w:rPr>
          <w:rFonts w:cs="Calibri" w:cstheme="minorHAnsi"/>
          <w:b/>
          <w:bCs/>
        </w:rPr>
      </w:pPr>
      <w:r>
        <w:rPr>
          <w:rFonts w:cs="Calibri" w:cstheme="minorHAnsi"/>
          <w:b/>
          <w:bCs/>
        </w:rPr>
        <w:t>Estou ciente que além dos riscos e complicações descritas acima, em exames médicos invasivos como o proposto, pode haver também risco de morte.</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 Orizonti.</w:t>
      </w:r>
    </w:p>
    <w:p>
      <w:pPr>
        <w:pStyle w:val="ListParagraph"/>
        <w:spacing w:lineRule="auto" w:line="240" w:before="0" w:after="0"/>
        <w:ind w:left="-567" w:right="-568"/>
        <w:contextualSpacing/>
        <w:jc w:val="both"/>
        <w:rPr>
          <w:rFonts w:cs="Calibri" w:cstheme="minorHAnsi"/>
        </w:rPr>
      </w:pPr>
      <w:r>
        <w:rPr/>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6.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9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97"/>
      </w:tblGrid>
      <w:tr>
        <w:trPr>
          <w:trHeight w:val="609" w:hRule="atLeast"/>
        </w:trPr>
        <w:tc>
          <w:tcPr>
            <w:tcW w:w="9797"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24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 xml:space="preserve">Autorizo o corpo clínico (médicos) da Radiologia e Diagnóstico por Imagem do </w:t>
            </w:r>
            <w:r>
              <w:rPr>
                <w:rFonts w:eastAsia="Calibri" w:cs="Calibri" w:cstheme="minorHAnsi"/>
                <w:kern w:val="0"/>
                <w:sz w:val="22"/>
                <w:szCs w:val="22"/>
                <w:lang w:val="pt-BR" w:eastAsia="en-US" w:bidi="ar-SA"/>
              </w:rPr>
              <w:t>Grupo Orizonti</w:t>
            </w:r>
            <w:r>
              <w:rPr>
                <w:rFonts w:eastAsia="Calibri" w:cs=""/>
                <w:kern w:val="0"/>
                <w:sz w:val="22"/>
                <w:szCs w:val="22"/>
                <w:lang w:val="pt-BR" w:eastAsia="en-US" w:bidi="ar-SA"/>
              </w:rPr>
              <w:t xml:space="preserve"> a acessar meus exames com o objetivo de fornecer ludo comparativo/ evolutivo.</w:t>
            </w:r>
          </w:p>
          <w:p>
            <w:pPr>
              <w:pStyle w:val="Normal"/>
              <w:widowControl/>
              <w:suppressAutoHyphens w:val="true"/>
              <w:spacing w:lineRule="auto" w:line="240" w:before="0" w:after="0"/>
              <w:jc w:val="both"/>
              <w:rPr>
                <w:rFonts w:cs="Calibri" w:cstheme="minorHAnsi"/>
              </w:rPr>
            </w:pPr>
            <w:r>
              <w:rPr>
                <w:rFonts w:cs="Calibri" w:cstheme="minorHAnsi"/>
              </w:rPr>
            </w:r>
          </w:p>
          <w:p>
            <w:pPr>
              <w:pStyle w:val="Normal"/>
              <w:widowControl/>
              <w:suppressAutoHyphens w:val="true"/>
              <w:spacing w:lineRule="auto" w:line="240" w:before="0" w:after="0"/>
              <w:jc w:val="both"/>
              <w:rPr>
                <w:rFonts w:cs="Calibri" w:cstheme="minorHAnsi"/>
              </w:rPr>
            </w:pPr>
            <w:r>
              <w:rPr>
                <w:rFonts w:eastAsia="Calibri" w:cs=""/>
                <w:b/>
                <w:bCs/>
                <w:kern w:val="0"/>
                <w:sz w:val="22"/>
                <w:szCs w:val="22"/>
                <w:lang w:val="pt-BR" w:eastAsia="en-US" w:bidi="ar-SA"/>
              </w:rPr>
              <w:t>Instituição:</w:t>
            </w:r>
            <w:r>
              <w:rPr>
                <w:rFonts w:eastAsia="Calibri" w:cs=""/>
                <w:kern w:val="0"/>
                <w:sz w:val="22"/>
                <w:szCs w:val="22"/>
                <w:lang w:val="pt-BR" w:eastAsia="en-US" w:bidi="ar-SA"/>
              </w:rPr>
              <w:t xml:space="preserve"> </w:t>
            </w:r>
            <w:r>
              <w:rPr>
                <w:rFonts w:eastAsia="Calibri" w:cs="Calibri" w:cstheme="minorHAnsi"/>
                <w:kern w:val="0"/>
                <w:sz w:val="22"/>
                <w:szCs w:val="22"/>
                <w:lang w:val="pt-BR" w:eastAsia="en-US" w:bidi="ar-SA"/>
              </w:rPr>
              <w:t>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Login:</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Senha:</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74"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LibreOffice/24.2.0.3$Windows_X86_64 LibreOffice_project/da48488a73ddd66ea24cf16bbc4f7b9c08e9bea1</Application>
  <AppVersion>15.0000</AppVersion>
  <Pages>5</Pages>
  <Words>1622</Words>
  <Characters>10645</Characters>
  <CharactersWithSpaces>12216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2024-12-17T16:44:37Z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