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Arial" w:cstheme="minorHAnsi"/>
                <w:b/>
                <w:bCs/>
                <w:kern w:val="0"/>
                <w:sz w:val="22"/>
                <w:szCs w:val="22"/>
                <w:lang w:val="pt-BR" w:eastAsia="en-US" w:bidi="ar-SA"/>
              </w:rPr>
              <w:t>Fechamento Percutâneo de Shunt Cardíacos - Oclusão Percutânea de Comunicação Interatrial</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cs="Arial" w:cstheme="minorHAnsi"/>
          <w:b/>
          <w:bCs/>
          <w:sz w:val="24"/>
          <w:szCs w:val="24"/>
        </w:rPr>
        <w:t>Fechamento Percutâneo de Shunt Cardíacos – Oclusão Percutânea de Comunicação Interatrial</w:t>
      </w:r>
      <w:r>
        <w:rPr>
          <w:rFonts w:cs="Calibri" w:cstheme="minorHAnsi"/>
          <w:b/>
          <w:bCs/>
          <w:sz w:val="24"/>
          <w:szCs w:val="24"/>
        </w:rPr>
        <w:t xml:space="preserve"> </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xml:space="preserve">: </w:t>
      </w:r>
      <w:r>
        <w:rPr>
          <w:rFonts w:cs="Arial" w:cstheme="minorHAnsi"/>
        </w:rPr>
        <w:t>Comunicação Interatrial (CIA)</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eastAsia="Tahoma" w:cs="Arial" w:cstheme="minorHAnsi"/>
          <w:color w:val="000000"/>
        </w:rPr>
        <w:t>Esse procedimento visa reparar a comunicação anormal de uma pequena abertura (orifício) localizada no septo que separa as duas cavidades do coração (átrios direito e esquerdo), conhecida como comunicação interatrial (CIA). O procedimento consiste na introdução de um cateter específico na região inguinal ou virilha. Esse procedimento foi recomendado por uma equipe multidisciplinar de especialistas, para pacientes que possuem características anatômicas da abertura favoráveis para essa abordagem. A colocação de um dispositivo parecido com um “guarda-chuva”, conhecido como prótese para fechamento de CIA, é feita por meio da inserção de um cateter por uma veia na região inguinal até o átrio esquerdo no coração através da CIA. Todo o procedimento é orientado por raios X e, principalmente, por ecocardiografia transesofágica, que auxiliará a equipe médica no posicionamento correto e na liberação segura da prótese na CIA. Uma vez liberado o dispositivo com sucesso, o cateter é retirado e são realizadas manobras para conter eventuais sangramentos no local da punção e em seguida o procedimento é concluído.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w:t>
      </w:r>
      <w:r>
        <w:rPr>
          <w:rFonts w:cs="Arial" w:cstheme="minorHAnsi"/>
          <w:color w:val="000000"/>
        </w:rPr>
        <w:t>Tomei ciência também de que o procedimento envolve riscos, tendo sido prestadas todas as informações pertinentes sobre as possíveis complicações de causas conhecidas e desconhecidas, inclusive óbito, acidente vascular cerebral, infarto do miocárdio, arritmia cardíaca, edema agudo de pulmão, choque anafilático, infecções de ordem e graus variados, alergias e/ou reações ao contraste, sangramentos, hematomas, insuficiência renal, complicações vasculares e hemodinâmicas, perfuração de câmara cardíaca ou vasos, perda de membros e/ou sua função, além dos riscos inerentes à anestesia e à própria utilização de instrumentos e equipamentos diversos. Foi explicado para mim que tais reações adversas são infrequentes, ocorrendo em menos de 2% dos casos, porém podem ser agravadas quando associadas a outros fatores pessoais do paciente, dentre os quais doenças subjacentes, cirurgia cardíaca prévia, antecedente de alergias, hipertensão arterial não controlada, tabagismo, alcoolismo, diabetes, obesidade, insuficiência renal, doença vascular encefálica, internação prolongada, insuficiência hepática, doenças cardíacas, doença aterosclerótica, câncer, desnutrição grave e idade avançada, que são os mais comuns.</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color w:val="000000"/>
        </w:rPr>
        <w:t>Estou ciente que além dos riscos e complicações descritas acima, em procedimentos médicos invasivos como o proposto, pode haver também risco de morte.</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w:t>
      </w:r>
      <w:r>
        <w:rPr>
          <w:rFonts w:cs="Arial" w:cstheme="minorHAnsi"/>
        </w:rPr>
        <w:t xml:space="preserve">O fechamento percutâneo da CIA é uma modalidade de tratamento. Outras possibilidades de tratamento é o tratamento clínico (com medicamentos somente) ou a cirurgia cardíaca. Cada pessoa e anatomia tem indicação para um destes tratamentos. Os casos de intervenção no </w:t>
      </w:r>
      <w:r>
        <w:rPr>
          <w:rFonts w:cs="Arial" w:cstheme="minorHAnsi"/>
        </w:rPr>
        <w:t>Hospital</w:t>
      </w:r>
      <w:r>
        <w:rPr>
          <w:rFonts w:cs="Arial" w:cstheme="minorHAnsi"/>
        </w:rPr>
        <w:t xml:space="preserve"> Orizonti, são discutidos previamente no Heart Team do Instituto Orizonti (equipe composta de: cardiologistas, cardiologistas intervencionistas, médicos da imagem – ecocardiografista e radiologia, cirurgião cardíaco). Em caso de dúvidas, converse com seu cardiologista assistente. E a equipe do </w:t>
      </w:r>
      <w:r>
        <w:rPr>
          <w:rFonts w:cs="Arial" w:cstheme="minorHAnsi"/>
        </w:rPr>
        <w:t xml:space="preserve">Hospital </w:t>
      </w:r>
      <w:r>
        <w:rPr>
          <w:rFonts w:cs="Arial" w:cstheme="minorHAnsi"/>
        </w:rPr>
        <w:t>Orizonti se coloca à disposição para conversar sobre a indicação.</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LibreOffice/24.2.0.3$Windows_X86_64 LibreOffice_project/da48488a73ddd66ea24cf16bbc4f7b9c08e9bea1</Application>
  <AppVersion>15.0000</AppVersion>
  <Pages>5</Pages>
  <Words>1524</Words>
  <Characters>10229</Characters>
  <CharactersWithSpaces>11709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2024-12-20T15:24:20Z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