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1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Microcirurgia do Plexo Braquial – </w:t>
            </w:r>
            <w:r>
              <w:rPr>
                <w:rFonts w:eastAsia="Calibri" w:cs="Calibri" w:cstheme="minorHAnsi"/>
                <w:b/>
                <w:bCs/>
                <w:kern w:val="0"/>
                <w:sz w:val="22"/>
                <w:szCs w:val="22"/>
                <w:lang w:val="pt-BR" w:eastAsia="en-US" w:bidi="ar-SA"/>
              </w:rPr>
              <w:t>Fora do Rol</w:t>
            </w:r>
          </w:p>
        </w:tc>
      </w:tr>
    </w:tbl>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3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214"/>
      </w:tblGrid>
      <w:tr>
        <w:trPr/>
        <w:tc>
          <w:tcPr>
            <w:tcW w:w="9638"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4"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9634"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9633"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Microcirurgia do Plexo Braquial</w:t>
      </w:r>
      <w:r>
        <w:rPr>
          <w:rFonts w:cs="Calibri" w:cstheme="minorHAnsi"/>
        </w:rPr>
        <w:t xml:space="preserve"> o “</w:t>
      </w:r>
      <w:r>
        <w:rPr>
          <w:rFonts w:cs="Calibri" w:cstheme="minorHAnsi"/>
          <w:u w:val="single"/>
        </w:rPr>
        <w:t>Procedimento</w:t>
      </w:r>
      <w:r>
        <w:rPr>
          <w:rFonts w:cs="Calibri" w:cstheme="minorHAnsi"/>
        </w:rPr>
        <w:t>”), a ser realizado no Instituto Orizonti, hospital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Lesão Traumática ou Compressiva de uma ou mais Raízes do Plexo Braquial</w:t>
      </w:r>
    </w:p>
    <w:p>
      <w:pPr>
        <w:pStyle w:val="Normal"/>
        <w:spacing w:lineRule="auto" w:line="240"/>
        <w:ind w:left="-567" w:right="-568"/>
        <w:jc w:val="both"/>
        <w:rPr>
          <w:rFonts w:cs="Calibri" w:cstheme="minorHAnsi"/>
        </w:rPr>
      </w:pPr>
      <w:r>
        <w:rPr>
          <w:rFonts w:cs="Calibri" w:cstheme="minorHAnsi"/>
          <w:b/>
          <w:bCs/>
        </w:rPr>
        <w:t>DEFINIÇÃO DO PROCEDIMENTO</w:t>
      </w:r>
      <w:r>
        <w:rPr>
          <w:rFonts w:cs="Calibri" w:cstheme="minorHAnsi"/>
        </w:rPr>
        <w:t xml:space="preserve">: Reconstrução por técnica microcirúrgica e microscópica de lesões de raízes ou nervos derivados do plexo braquial com ou sem enxertia nervosa </w:t>
      </w:r>
    </w:p>
    <w:p>
      <w:pPr>
        <w:pStyle w:val="Normal"/>
        <w:spacing w:lineRule="auto" w:line="240"/>
        <w:ind w:left="-567" w:right="-568"/>
        <w:jc w:val="both"/>
        <w:rPr>
          <w:rFonts w:cs="Calibri" w:cstheme="minorHAnsi"/>
        </w:rPr>
      </w:pPr>
      <w:r>
        <w:rPr>
          <w:rFonts w:cs="Calibri" w:cstheme="minorHAnsi"/>
          <w:b/>
          <w:bCs/>
        </w:rPr>
        <w:t>RISCOS, COMPLICAÇÕES</w:t>
      </w:r>
      <w:r>
        <w:rPr>
          <w:rFonts w:cs="Calibri" w:cstheme="minorHAnsi"/>
        </w:rPr>
        <w:t>: Formação de hematomas que podem comprimir estruturas vasculares e nervosas e agravar as alterações sensitivas e motoras pré-existentes, infecções envolvendo pele, subcutâneo com necessidade de tratamento cirúrgico sequencial ou medicamentoso prolongado.  Redução ou perda da capacidade de sentir um segmento corpóreo (p. ex. mão, braço, antebraço), redução da perda ou capacidade de mover um segmento corpóreo (p. ex. mão, braço, antebraço). Podem se desenvolver síndromes dolorosas de comportamento irregular tendendo à cronificação que levem à necessidade de tratamentos cirúrgico ou medicamentoso por período prolongado. Quando colhidos nervos periféricos para enxertia ou transposição as porções doadoras poderão apresentar alterações motoras ou sensitivas (segmentos torácicos quando utilizados nervos intercostais ou extremidade inferior quando utilizado o nervo sural). Essas alterações embora normalmente transitórias podem ter caráter prolongado ou definitivo por resposta idiossincrática. Há pequeno risco de óbito.</w:t>
      </w:r>
    </w:p>
    <w:p>
      <w:pPr>
        <w:pStyle w:val="Normal"/>
        <w:spacing w:lineRule="auto" w:line="240"/>
        <w:ind w:left="-567" w:right="-568"/>
        <w:jc w:val="both"/>
        <w:rPr>
          <w:rFonts w:cs="Calibri" w:cstheme="minorHAnsi"/>
        </w:rPr>
      </w:pPr>
      <w:r>
        <w:rPr>
          <w:rFonts w:cs="Calibri" w:cstheme="minorHAnsi"/>
          <w:b/>
          <w:bCs/>
        </w:rPr>
        <w:t>TRATAMENTOS ALTERNATIVOS</w:t>
      </w:r>
      <w:r>
        <w:rPr>
          <w:rFonts w:cs="Calibri" w:cstheme="minorHAnsi"/>
        </w:rPr>
        <w:t>: O tratamento cirúrgico foi indicado como melhor alternativa frente aos riscos trazidos pela doença e suas abordagens. O tratamento cirúrgico convencional foi eleito devido a não haver alternativas de efetividade similares disponíveis.</w:t>
      </w:r>
    </w:p>
    <w:p>
      <w:pPr>
        <w:pStyle w:val="Normal"/>
        <w:spacing w:lineRule="auto" w:line="240"/>
        <w:ind w:left="-567" w:right="-568"/>
        <w:jc w:val="both"/>
        <w:rPr>
          <w:rFonts w:cs="Calibri" w:cstheme="minorHAnsi"/>
        </w:rPr>
      </w:pPr>
      <w:r>
        <w:rPr>
          <w:rFonts w:cs="Calibri" w:cstheme="minorHAnsi"/>
        </w:rPr>
        <w:t>Estou de acordo com a realização dos procedimento descritos abaixo, se necessário:</w:t>
      </w:r>
    </w:p>
    <w:p>
      <w:pPr>
        <w:pStyle w:val="Normal"/>
        <w:spacing w:lineRule="auto" w:line="240"/>
        <w:ind w:left="-567" w:right="-568"/>
        <w:jc w:val="both"/>
        <w:rPr>
          <w:rFonts w:cs="Calibri" w:cstheme="minorHAnsi"/>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6.65pt;height:8.9pt" type="#_x0000_t75"/>
          <w:control r:id="rId2" w:name="Botão de opção 1" w:shapeid="control_shape_0"/>
        </w:object>
      </w:r>
      <w:r>
        <w:rPr>
          <w:rFonts w:cs="Calibri" w:cstheme="minorHAnsi"/>
        </w:rPr>
        <w:t xml:space="preserve"> </w:t>
      </w:r>
      <w:r>
        <w:rPr>
          <w:rFonts w:cs="Calibri" w:cstheme="minorHAnsi"/>
        </w:rPr>
        <w:t>Microneurorrafia única</w:t>
      </w:r>
    </w:p>
    <w:p>
      <w:pPr>
        <w:pStyle w:val="Normal"/>
        <w:spacing w:lineRule="auto" w:line="240"/>
        <w:ind w:left="-567" w:right="-568"/>
        <w:jc w:val="both"/>
        <w:rPr>
          <w:rFonts w:cs="Calibri" w:cstheme="minorHAnsi"/>
        </w:rPr>
      </w:pPr>
      <w:r>
        <w:rPr/>
        <w:object>
          <v:shape id="control_shape_1" o:allowincell="t" style="width:5.9pt;height:9.65pt" type="#_x0000_t75"/>
          <w:control r:id="rId3" w:name="Botão de opção 2" w:shapeid="control_shape_1"/>
        </w:object>
      </w:r>
      <w:r>
        <w:rPr>
          <w:rFonts w:cs="Calibri" w:cstheme="minorHAnsi"/>
        </w:rPr>
        <w:t xml:space="preserve"> </w:t>
      </w:r>
      <w:r>
        <w:rPr>
          <w:rFonts w:cs="Calibri" w:cstheme="minorHAnsi"/>
        </w:rPr>
        <w:t>Microneurrafia múltipla (plexo nervoso)</w:t>
      </w:r>
    </w:p>
    <w:p>
      <w:pPr>
        <w:pStyle w:val="Normal"/>
        <w:spacing w:lineRule="auto" w:line="240"/>
        <w:ind w:left="-567" w:right="-568"/>
        <w:jc w:val="both"/>
        <w:rPr>
          <w:rFonts w:cs="Calibri" w:cstheme="minorHAnsi"/>
        </w:rPr>
      </w:pPr>
      <w:r>
        <w:rPr/>
        <w:object>
          <v:shape id="control_shape_2" o:allowincell="t" style="width:8.9pt;height:10.4pt" type="#_x0000_t75"/>
          <w:control r:id="rId4" w:name="Botão de opção 3" w:shapeid="control_shape_2"/>
        </w:object>
      </w:r>
      <w:r>
        <w:rPr>
          <w:rFonts w:cs="Calibri" w:cstheme="minorHAnsi"/>
        </w:rPr>
        <w:t>Microneurólise intraneural ou intrafascicular de um nervo</w:t>
      </w:r>
    </w:p>
    <w:p>
      <w:pPr>
        <w:pStyle w:val="Normal"/>
        <w:spacing w:lineRule="auto" w:line="240"/>
        <w:ind w:left="-567" w:right="-568"/>
        <w:jc w:val="both"/>
        <w:rPr>
          <w:rFonts w:cs="Calibri" w:cstheme="minorHAnsi"/>
        </w:rPr>
      </w:pPr>
      <w:r>
        <w:rPr/>
        <w:object>
          <v:shape id="control_shape_3" o:allowincell="t" style="width:7.4pt;height:8.9pt" type="#_x0000_t75"/>
          <w:control r:id="rId5" w:name="Botão de opção 4" w:shapeid="control_shape_3"/>
        </w:object>
      </w:r>
      <w:r>
        <w:rPr>
          <w:rFonts w:cs="Calibri" w:cstheme="minorHAnsi"/>
        </w:rPr>
        <w:t xml:space="preserve"> </w:t>
      </w:r>
      <w:r>
        <w:rPr>
          <w:rFonts w:cs="Calibri" w:cstheme="minorHAnsi"/>
        </w:rPr>
        <w:t>Transposição de nervo</w:t>
      </w:r>
    </w:p>
    <w:p>
      <w:pPr>
        <w:pStyle w:val="Normal"/>
        <w:spacing w:lineRule="auto" w:line="240"/>
        <w:ind w:left="-567" w:right="-568"/>
        <w:jc w:val="both"/>
        <w:rPr>
          <w:rFonts w:cs="Calibri" w:cstheme="minorHAnsi"/>
        </w:rPr>
      </w:pPr>
      <w:r>
        <w:rPr>
          <w:rFonts w:cs="Calibri" w:cstheme="minorHAnsi"/>
        </w:rPr>
        <w:t>Declaro que:</w:t>
      </w:r>
    </w:p>
    <w:p>
      <w:pPr>
        <w:pStyle w:val="ListParagraph"/>
        <w:numPr>
          <w:ilvl w:val="0"/>
          <w:numId w:val="4"/>
        </w:numPr>
        <w:spacing w:lineRule="auto" w:line="240"/>
        <w:ind w:hanging="360" w:left="153" w:right="-568"/>
        <w:jc w:val="both"/>
        <w:rPr>
          <w:rFonts w:cs="Calibri" w:cstheme="minorHAnsi"/>
          <w:b/>
          <w:bCs/>
        </w:rPr>
      </w:pPr>
      <w:r>
        <w:rPr>
          <w:rFonts w:cs="Calibri" w:cstheme="minorHAnsi"/>
          <w:b/>
          <w:bCs/>
        </w:rPr>
        <w:t xml:space="preserve">Estou ciente e compreendo que o(s) procedimentos adicional(ais) realizado(s) não é(são) coberto(s) pela minha apólice de seguro-saúde ou por convênio de assistência saúde suplementar, conforme rol definido pelos órgãos regulatórios, havendo sua realização ter sido de minha escolha após esclarecimento médico de todas as alternativas existentes. Declaro, que renuncio ao direito de solicitar, sob qualquer forma, em face da seguradora ou operadora de plano de saúde, reembolso financeiro, uma vez que exerci uma opção individual pela realização do(s) método(s) acima referenciado(s), após meu médico esclarecer todas as alternativas pertinentes para meu tratamento. </w:t>
      </w:r>
    </w:p>
    <w:p>
      <w:pPr>
        <w:pStyle w:val="ListParagraph"/>
        <w:spacing w:lineRule="auto" w:line="240"/>
        <w:ind w:left="153" w:right="-568"/>
        <w:jc w:val="both"/>
        <w:rPr>
          <w:rFonts w:cs="Calibri" w:cstheme="minorHAnsi"/>
          <w:b/>
          <w:bCs/>
        </w:rPr>
      </w:pPr>
      <w:r>
        <w:rPr>
          <w:rFonts w:cs="Calibri" w:cstheme="minorHAnsi"/>
          <w:b/>
          <w:bCs/>
        </w:rPr>
      </w:r>
    </w:p>
    <w:p>
      <w:pPr>
        <w:pStyle w:val="ListParagraph"/>
        <w:numPr>
          <w:ilvl w:val="0"/>
          <w:numId w:val="5"/>
        </w:numPr>
        <w:spacing w:lineRule="auto" w:line="240"/>
        <w:ind w:hanging="360" w:left="153" w:right="-568"/>
        <w:jc w:val="both"/>
        <w:rPr>
          <w:rFonts w:eastAsia="" w:eastAsiaTheme="minorEastAsia"/>
        </w:rPr>
      </w:pPr>
      <w:r>
        <w:rPr>
          <w:rFonts w:eastAsia="" w:cs="Calibri" w:eastAsiaTheme="minorEastAsia"/>
        </w:rPr>
        <w:t>Assim, tendo conhecimento, autorizo a realização do(s) procedimento(s) proposto(s), para todos os fins legais, ciente dos ônus financeiros daí decorrentes, os quais, desde a realização do procedimento, confesso dever e prometo pagar.</w:t>
      </w:r>
    </w:p>
    <w:p>
      <w:pPr>
        <w:pStyle w:val="ListParagraph"/>
        <w:spacing w:lineRule="auto" w:line="240"/>
        <w:ind w:hanging="0" w:left="153"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8. Os registros fotográficos da pele ou lesões, caso ocorram, são autorizados e ficarão limitados aos profissionais de saúde do Instituto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left="-567" w:right="-568"/>
        <w:contextualSpacing/>
        <w:jc w:val="both"/>
        <w:rPr>
          <w:rFonts w:cs="Calibri" w:cstheme="minorHAnsi"/>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bidi w:val="0"/>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left="-567" w:right="-568"/>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para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08"/>
          <w:tab w:val="left" w:pos="3160" w:leader="none"/>
        </w:tabs>
        <w:spacing w:before="0" w:after="200"/>
        <w:rPr/>
      </w:pPr>
      <w:r>
        <w:rPr/>
        <w:tab/>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701" w:gutter="0" w:header="51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left="-2268"/>
      <w:jc w:val="center"/>
      <w:rPr/>
    </w:pPr>
    <w:r>
      <w:rPr/>
      <w:drawing>
        <wp:inline distT="0" distB="0" distL="0" distR="0">
          <wp:extent cx="8329295" cy="1110615"/>
          <wp:effectExtent l="0" t="0" r="0" b="0"/>
          <wp:docPr id="3"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7" descr=""/>
                  <pic:cNvPicPr>
                    <a:picLocks noChangeAspect="1" noChangeArrowheads="1"/>
                  </pic:cNvPicPr>
                </pic:nvPicPr>
                <pic:blipFill>
                  <a:blip r:embed="rId1"/>
                  <a:stretch>
                    <a:fillRect/>
                  </a:stretch>
                </pic:blipFill>
                <pic:spPr bwMode="auto">
                  <a:xfrm>
                    <a:off x="0" y="0"/>
                    <a:ext cx="8329295" cy="111061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left="-2268"/>
      <w:jc w:val="center"/>
      <w:rPr/>
    </w:pPr>
    <w:r>
      <w:rPr/>
      <w:drawing>
        <wp:inline distT="0" distB="0" distL="0" distR="0">
          <wp:extent cx="8329295" cy="1110615"/>
          <wp:effectExtent l="0" t="0" r="0" b="0"/>
          <wp:docPr id="4"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7" descr=""/>
                  <pic:cNvPicPr>
                    <a:picLocks noChangeAspect="1" noChangeArrowheads="1"/>
                  </pic:cNvPicPr>
                </pic:nvPicPr>
                <pic:blipFill>
                  <a:blip r:embed="rId1"/>
                  <a:stretch>
                    <a:fillRect/>
                  </a:stretch>
                </pic:blipFill>
                <pic:spPr bwMode="auto">
                  <a:xfrm>
                    <a:off x="0" y="0"/>
                    <a:ext cx="8329295" cy="11106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0500" cy="647700"/>
          <wp:effectExtent l="0" t="0" r="0" b="0"/>
          <wp:docPr id="1" name="Imagem 16" descr="C:\Users\lpassos\AppData\Local\Microsoft\Windows\INetCache\Content.Word\INSTITUTO ORIZONTI LOGOTIP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C:\Users\lpassos\AppData\Local\Microsoft\Windows\INetCache\Content.Word\INSTITUTO ORIZONTI LOGOTIPO_Prancheta 1.png"/>
                  <pic:cNvPicPr>
                    <a:picLocks noChangeAspect="1" noChangeArrowheads="1"/>
                  </pic:cNvPicPr>
                </pic:nvPicPr>
                <pic:blipFill>
                  <a:blip r:embed="rId1"/>
                  <a:stretch>
                    <a:fillRect/>
                  </a:stretch>
                </pic:blipFill>
                <pic:spPr bwMode="auto">
                  <a:xfrm>
                    <a:off x="0" y="0"/>
                    <a:ext cx="1460500" cy="64770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0500" cy="647700"/>
          <wp:effectExtent l="0" t="0" r="0" b="0"/>
          <wp:docPr id="2" name="Imagem 16" descr="C:\Users\lpassos\AppData\Local\Microsoft\Windows\INetCache\Content.Word\INSTITUTO ORIZONTI LOGOTIP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6" descr="C:\Users\lpassos\AppData\Local\Microsoft\Windows\INetCache\Content.Word\INSTITUTO ORIZONTI LOGOTIPO_Prancheta 1.png"/>
                  <pic:cNvPicPr>
                    <a:picLocks noChangeAspect="1" noChangeArrowheads="1"/>
                  </pic:cNvPicPr>
                </pic:nvPicPr>
                <pic:blipFill>
                  <a:blip r:embed="rId1"/>
                  <a:stretch>
                    <a:fillRect/>
                  </a:stretch>
                </pic:blipFill>
                <pic:spPr bwMode="auto">
                  <a:xfrm>
                    <a:off x="0" y="0"/>
                    <a:ext cx="1460500" cy="64770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2">
    <w:lvl w:ilvl="0">
      <w:start w:val="1"/>
      <w:numFmt w:val="upperRoman"/>
      <w:lvlText w:val="%1."/>
      <w:lvlJc w:val="righ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6b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ba0f6c"/>
    <w:rPr/>
  </w:style>
  <w:style w:type="character" w:styleId="RodapChar" w:customStyle="1">
    <w:name w:val="Rodapé Char"/>
    <w:basedOn w:val="DefaultParagraphFont"/>
    <w:uiPriority w:val="99"/>
    <w:qFormat/>
    <w:rsid w:val="00ba0f6c"/>
    <w:rPr/>
  </w:style>
  <w:style w:type="character" w:styleId="TextodebaloChar" w:customStyle="1">
    <w:name w:val="Texto de balão Char"/>
    <w:basedOn w:val="DefaultParagraphFont"/>
    <w:link w:val="BalloonText"/>
    <w:uiPriority w:val="99"/>
    <w:semiHidden/>
    <w:qFormat/>
    <w:rsid w:val="00ba0f6c"/>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ba0f6c"/>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ba0f6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ba0f6c"/>
    <w:pPr>
      <w:spacing w:lineRule="auto" w:line="240" w:before="0" w:after="0"/>
    </w:pPr>
    <w:rPr>
      <w:rFonts w:ascii="Tahoma" w:hAnsi="Tahoma" w:cs="Tahoma"/>
      <w:sz w:val="16"/>
      <w:szCs w:val="16"/>
    </w:rPr>
  </w:style>
  <w:style w:type="paragraph" w:styleId="Padro" w:customStyle="1">
    <w:name w:val="Padrão"/>
    <w:qFormat/>
    <w:rsid w:val="00013674"/>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ListParagraph">
    <w:name w:val="List Paragraph"/>
    <w:basedOn w:val="Normal"/>
    <w:uiPriority w:val="34"/>
    <w:qFormat/>
    <w:rsid w:val="00013674"/>
    <w:pPr>
      <w:spacing w:lineRule="auto" w:line="259" w:before="0" w:after="160"/>
      <w:ind w:left="720"/>
      <w:contextualSpacing/>
    </w:pPr>
    <w:rPr/>
  </w:style>
  <w:style w:type="paragraph" w:styleId="NormalWeb">
    <w:name w:val="Normal (Web)"/>
    <w:basedOn w:val="Normal"/>
    <w:uiPriority w:val="99"/>
    <w:unhideWhenUsed/>
    <w:qFormat/>
    <w:rsid w:val="00013674"/>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0136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1" ma:contentTypeDescription="Crie um novo documento." ma:contentTypeScope="" ma:versionID="f60292a96eb8554941cbcaf2fef4f0b0">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5b93bac851f2322e9c17151dda29370b"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41B54-901E-4AC3-BBFD-E1B60E7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32DAE-5339-4A23-BB9D-169CA4EE1C8B}">
  <ds:schemaRefs>
    <ds:schemaRef ds:uri="http://schemas.microsoft.com/sharepoint/v3/contenttype/forms"/>
  </ds:schemaRefs>
</ds:datastoreItem>
</file>

<file path=customXml/itemProps3.xml><?xml version="1.0" encoding="utf-8"?>
<ds:datastoreItem xmlns:ds="http://schemas.openxmlformats.org/officeDocument/2006/customXml" ds:itemID="{15D6A51C-FC67-453D-B402-40E2F227F1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FC8D0-E482-4E3E-8FF3-437A5A41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LibreOffice/24.2.0.3$Windows_X86_64 LibreOffice_project/da48488a73ddd66ea24cf16bbc4f7b9c08e9bea1</Application>
  <AppVersion>15.0000</AppVersion>
  <Pages>5</Pages>
  <Words>1431</Words>
  <Characters>9691</Characters>
  <CharactersWithSpaces>11073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2022-02-09T12:17:00Z</dcterms:created>
  <dc:creator>Luiz Gustavo Alves Passos</dc:creator>
  <dc:description/>
  <dc:language>pt-BR</dc:language>
  <cp:lastModifiedBy/>
  <dcterms:modified xsi:type="dcterms:W3CDTF">2024-04-23T10:42:10Z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ies>
</file>