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Exérese de Mama Supra-Numerária - Unilateral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</w:t>
      </w:r>
      <w:r>
        <w:rPr>
          <w:rFonts w:cs="Calibri" w:cstheme="minorHAnsi"/>
          <w:b/>
          <w:bCs/>
        </w:rPr>
        <w:t xml:space="preserve"> Exérese de mama supra-numerária - unilateral – 30602084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4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Mama extranumerária</w:t>
      </w:r>
    </w:p>
    <w:p>
      <w:pPr>
        <w:pStyle w:val="Normal"/>
        <w:spacing w:lineRule="auto" w:line="240" w:before="0" w:after="0"/>
        <w:ind w:left="-567" w:right="-4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427"/>
        <w:jc w:val="both"/>
        <w:rPr>
          <w:rFonts w:cs="Calibri" w:cstheme="minorHAnsi"/>
          <w:b/>
          <w:color w:themeColor="text1" w:val="000000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  <w:color w:themeColor="text1" w:val="000000"/>
        </w:rPr>
        <w:t>Exérese de mama supra-numerária – unilateral</w:t>
      </w:r>
      <w:r>
        <w:rPr>
          <w:rFonts w:cs="Calibri" w:cstheme="minorHAnsi"/>
          <w:b/>
          <w:color w:themeColor="text1" w:val="000000"/>
        </w:rPr>
        <w:t>.</w:t>
      </w:r>
    </w:p>
    <w:p>
      <w:pPr>
        <w:pStyle w:val="Normal"/>
        <w:spacing w:lineRule="auto" w:line="240" w:before="0" w:after="0"/>
        <w:ind w:left="-567" w:right="-4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Default"/>
        <w:ind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firstLine="397" w:left="-567" w:right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Toda intervenção cirúrgica, pela própria técnica cirúrgica ou pelas condições clínicas de cada paciente (diabetes, cardiopatia, hipertensão, idade avançada, anemia, obesidade, etc.), pode trazer uma série de complicações comuns e potencialmente sérias, incluindo óbito.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Eventuais complicações podem exigir tratamentos complementares tanto clínicos quanto cirúrgicos, sendo indispensável a avaliação prévia do risco cirúrgico e anestésico.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Hemorragias intraoperatórias. Em casos extremos com sangramentos muito volumosos pode haver indicação de transfusão sanguínea e/ ou procedimentos para reparo vascular.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Hematoma (acúmulo de sangue) no local da cirurgia, sendo eventualmente necessária uma drenagem no bloco cirúrgico.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Seroma (acúmulo de secreção) no local da cirurgia, sendo eventualmente necessária a aspiração com agulha no pós-operatório. 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Infecção pós-operatória que pode requerer o uso de antibióticos ou até mesmo a drenagem cirúrgica de coleções purulentas.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Deiscência (ruptura) de suturas, retardando a cicatrização e comprometendo o resultado estético.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Alterações da sensibilidade, principalmente da face interna do braço.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spacing w:lineRule="auto" w:line="240" w:before="0" w:after="0"/>
        <w:ind w:left="-567" w:right="-4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não há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serei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/>
        <w:t xml:space="preserve">2. </w:t>
      </w:r>
      <w:r>
        <w:rPr>
          <w:rFonts w:cs="Calibri" w:cstheme="minorHAnsi"/>
        </w:rPr>
        <w:t>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3</w:t>
      </w:r>
      <w:r>
        <w:rPr>
          <w:rFonts w:cs="Calibri" w:cstheme="minorHAnsi"/>
        </w:rPr>
        <w:t>. Assim, declaro também estar ciente de que o Procedimento não implica necessariamente na cura, e que a evolução da doença e o tratamento poderão eventualmente modificar condutas inicialmente propostas.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>5</w:t>
      </w:r>
      <w:r>
        <w:rPr>
          <w:rFonts w:cs="Calibri" w:cstheme="minorHAnsi"/>
        </w:rPr>
        <w:t xml:space="preserve">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LibreOffice/24.2.0.3$Windows_X86_64 LibreOffice_project/da48488a73ddd66ea24cf16bbc4f7b9c08e9bea1</Application>
  <AppVersion>15.0000</AppVersion>
  <Pages>4</Pages>
  <Words>1242</Words>
  <Characters>8493</Characters>
  <CharactersWithSpaces>9681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2024-12-23T14:22:12Z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