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4"/>
          <w:szCs w:val="24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Procedimento: ECOENDOSCOPIA ALTA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 w:bidi="ar-SA"/>
              </w:rPr>
              <w:t>Identificação do Paciente (“</w:t>
            </w:r>
            <w:r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sz w:val="24"/>
                <w:szCs w:val="24"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 w:bidi="ar-SA"/>
              </w:rPr>
              <w:t>Identificação do Responsável (“</w:t>
            </w:r>
            <w:r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sz w:val="24"/>
                <w:szCs w:val="24"/>
                <w:lang w:eastAsia="en-US" w:bidi="ar-SA"/>
              </w:rPr>
              <w:t>”)</w:t>
            </w:r>
            <w:r>
              <w:rPr>
                <w:sz w:val="24"/>
                <w:szCs w:val="24"/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sz w:val="24"/>
          <w:szCs w:val="24"/>
          <w:u w:val="single"/>
        </w:rPr>
        <w:t>Código de Defesa do Consumidor</w:t>
      </w:r>
      <w:r>
        <w:rPr>
          <w:rFonts w:cs="Calibri" w:cstheme="minorHAnsi"/>
          <w:sz w:val="24"/>
          <w:szCs w:val="24"/>
        </w:rPr>
        <w:t>” ou “</w:t>
      </w:r>
      <w:r>
        <w:rPr>
          <w:rFonts w:cs="Calibri" w:cstheme="minorHAnsi"/>
          <w:sz w:val="24"/>
          <w:szCs w:val="24"/>
          <w:u w:val="single"/>
        </w:rPr>
        <w:t>CDC</w:t>
      </w:r>
      <w:r>
        <w:rPr>
          <w:rFonts w:cs="Calibri" w:cstheme="minorHAnsi"/>
          <w:sz w:val="24"/>
          <w:szCs w:val="24"/>
        </w:rPr>
        <w:t xml:space="preserve">”), </w:t>
      </w:r>
      <w:r>
        <w:rPr>
          <w:rFonts w:cs="Calibri" w:cstheme="minorHAnsi"/>
          <w:b/>
          <w:bCs/>
          <w:sz w:val="24"/>
          <w:szCs w:val="24"/>
        </w:rPr>
        <w:t>que, sem qualquer vício de vontade ou consentimento, dá total autorização</w:t>
      </w:r>
      <w:r>
        <w:rPr>
          <w:rFonts w:cs="Calibri" w:cstheme="minorHAnsi"/>
          <w:sz w:val="24"/>
          <w:szCs w:val="24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ECOENDOSCOPIA ALTA</w:t>
      </w:r>
      <w:r>
        <w:rPr>
          <w:rFonts w:cs="Calibri" w:cstheme="minorHAnsi"/>
          <w:sz w:val="24"/>
          <w:szCs w:val="24"/>
        </w:rPr>
        <w:t xml:space="preserve"> (o “</w:t>
      </w:r>
      <w:r>
        <w:rPr>
          <w:rFonts w:cs="Calibri" w:cstheme="minorHAnsi"/>
          <w:sz w:val="24"/>
          <w:szCs w:val="24"/>
          <w:u w:val="single"/>
        </w:rPr>
        <w:t>Procedimento</w:t>
      </w:r>
      <w:r>
        <w:rPr>
          <w:rFonts w:cs="Calibri" w:cstheme="minorHAnsi"/>
          <w:sz w:val="24"/>
          <w:szCs w:val="24"/>
        </w:rPr>
        <w:t xml:space="preserve">”), a ser realizado no 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4"/>
          <w:szCs w:val="24"/>
          <w:u w:val="single"/>
        </w:rPr>
        <w:t>Código de Ética Médica</w:t>
      </w:r>
      <w:r>
        <w:rPr>
          <w:rFonts w:cs="Calibri" w:cstheme="minorHAnsi"/>
          <w:sz w:val="24"/>
          <w:szCs w:val="24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DEFINIÇÃO DO PROCEDIMENTO/EXAME/TRATAMENTO</w:t>
      </w:r>
      <w:r>
        <w:rPr>
          <w:rFonts w:cs="Calibri" w:cstheme="minorHAnsi"/>
          <w:sz w:val="24"/>
          <w:szCs w:val="24"/>
        </w:rPr>
        <w:t>: A Ecoendoscopia Alta ou Ultrassom Endoscópico consiste na introdução de um aparelho de endoscopia especial, com um probe de ultrassom em sua ponta, pela boca até o esôfago, estômago ou duodeno. Durante o procedimento poderá ser visualizado o tubo digestivo alto, a sua parede, órgãos e estruturas vizinhas e, se necessário, realizar biópsias (punções) ou outros procedimentos. O procedimento será realizado sob sedação com assistência anestesiológica para torná-lo mais seguro e confortável. É importante salientar que, caso haja suspeita ou confirmação de gravidez, deverá ser comunicado à equipe responsável pelo seu cuidado.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0" w:left="-567" w:right="-39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RISCOS, COMPLICAÇÕES, CONTRAINDICAÇÃO</w:t>
      </w:r>
      <w:r>
        <w:rPr>
          <w:rFonts w:cs="Calibri" w:cstheme="minorHAnsi"/>
          <w:sz w:val="24"/>
          <w:szCs w:val="24"/>
        </w:rPr>
        <w:t>: [Pode ser necessário, durante o procedimento, a realização de Punção (biópsia) ecoguiada para obtenção de amostras / fragmentos ou líquido para realização de exames complementares anatomopatológicos e/ou laboratoriais. Complicações relativas à ecoendoscopia e à punção ocorrem em até 5% dos casos e incluem sangramento, perfuração, infecção, pancreatite e colangite. As complicações, embora incomuns, podem ser graves, resultando na necessidade de hospitalização, transfusão sanguínea, procedimentos endoscópicos adicionais, cirurgia de emergência e, apesar de muito raro,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sz w:val="24"/>
          <w:szCs w:val="24"/>
        </w:rPr>
      </w:pPr>
      <w:r>
        <w:rPr>
          <w:rFonts w:eastAsia="Arial" w:cs="Calibri" w:cstheme="minorHAnsi"/>
          <w:b/>
          <w:bCs/>
          <w:sz w:val="24"/>
          <w:szCs w:val="24"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TRATAMENTOS ALTERNATIVOS</w:t>
      </w:r>
      <w:r>
        <w:rPr>
          <w:rFonts w:cs="Calibri" w:cstheme="minorHAnsi"/>
          <w:sz w:val="24"/>
          <w:szCs w:val="24"/>
        </w:rPr>
        <w:t>: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 É importante reforçar que pode haver necessidade de uma intervenção cirúrgica para a resolução de uma complicação ou para a resolução do quadro que não foi possível solucionar endoscopicamente. A equipe de cirurgia do </w:t>
      </w:r>
      <w:r>
        <w:rPr>
          <w:rFonts w:cs="Calibri" w:cstheme="minorHAnsi"/>
          <w:sz w:val="24"/>
          <w:szCs w:val="24"/>
        </w:rPr>
        <w:t xml:space="preserve">Instituto Orizonti, em conjunto com a equipe de endoscopia,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está a disposição para o que for </w:t>
      </w:r>
      <w:r>
        <w:rPr>
          <w:rFonts w:cs="Calibri" w:cstheme="minorHAnsi"/>
          <w:sz w:val="24"/>
          <w:szCs w:val="24"/>
        </w:rPr>
        <w:t>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  <w:sz w:val="24"/>
          <w:szCs w:val="24"/>
        </w:rPr>
        <w:t>PODERÁ SER NECESSÁRIA A INFUSÃO DE SANGUE E SEUS COMPONENTES (TRANSFUSÃO DE SANGUE) NO PACIENTE</w:t>
      </w:r>
      <w:r>
        <w:rPr>
          <w:rFonts w:cs="Calibri" w:cstheme="minorHAnsi"/>
          <w:sz w:val="24"/>
          <w:szCs w:val="24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LibreOffice/7.6.2.1$Windows_X86_64 LibreOffice_project/56f7684011345957bbf33a7ee678afaf4d2ba333</Application>
  <AppVersion>15.0000</AppVersion>
  <Pages>5</Pages>
  <Words>1312</Words>
  <Characters>8857</Characters>
  <CharactersWithSpaces>10124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2024-12-06T10:44:40Z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