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Descompressão Microcirúrgica de Nervos Cranianos</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 xml:space="preserve">Descompressão Microcirúrgica de Nervos Cranianos </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Distúrbio compressivo de nervos cranianos causando dor, parestesia ou disfunção motora segmentar ou de sentido especial.</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Descompressão Cirúrgica de Nervo Craniano realizada através da abertura do crânio e utilizando técnicas microscópica e microcirúrgica.</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RISCOS, COMPLICAÇÕES: </w:t>
      </w:r>
      <w:r>
        <w:rPr>
          <w:rFonts w:eastAsia="Calibri" w:cs="Calibri" w:cstheme="minorHAnsi"/>
          <w:b w:val="false"/>
          <w:bCs w:val="false"/>
          <w:color w:val="auto"/>
          <w:kern w:val="0"/>
          <w:sz w:val="22"/>
          <w:szCs w:val="22"/>
          <w:lang w:val="pt-BR" w:eastAsia="ja-JP" w:bidi="ar-SA"/>
        </w:rPr>
        <w:t>Sangramento excessivo com necessidade de hemotransfusão, infecções envolvendo pele, subcutâneo, ossos do crânio, meninges e sistema nervoso com necessidade de tratamento cirúrgico sequencial ou medicamentoso prolongado.  Redução ou perda da capacidade de sentir um segmento corpóreo (p. ex. membro superior, face, membro inferior), redução da perda ou capacidade de mover um segmento corpóreo (p. ex membro superior, membro inferior, paralisia facial), alteração do equilíbrio, visão dupla. Há pequeno risco de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O tratamento cirúrgico foi indicado como melhor alternativa frente aos riscos trazidos pela doença e suas abordagens. Ablações percutâneas com balão e rizotomias por radiofrequência foram considerados como alternativas de menor efetividade sendo consensualizado pelo paciente a descompressão microcirúrgica como terapia escolhida.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Declaro, adicionalmente, que: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8. Os registros fotográficos da pele ou lesões, caso ocorram, são autorizados e ficarão limitados aos profissionais de saúde do </w:t>
      </w:r>
      <w:r>
        <w:rPr>
          <w:rFonts w:eastAsia="Calibri" w:cs="Calibri" w:cstheme="minorHAnsi"/>
          <w:color w:val="auto"/>
          <w:kern w:val="0"/>
          <w:sz w:val="22"/>
          <w:szCs w:val="22"/>
          <w:lang w:val="pt-BR" w:eastAsia="ja-JP" w:bidi="ar-SA"/>
        </w:rPr>
        <w:t>Grupo</w:t>
      </w:r>
      <w:r>
        <w:rPr>
          <w:rFonts w:eastAsia="Calibri" w:cs="Calibri" w:cstheme="minorHAnsi"/>
          <w:color w:val="auto"/>
          <w:kern w:val="0"/>
          <w:sz w:val="22"/>
          <w:szCs w:val="22"/>
          <w:lang w:val="pt-BR" w:eastAsia="ja-JP" w:bidi="ar-SA"/>
        </w:rPr>
        <w:t xml:space="preserve"> 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Application>LibreOffice/24.2.0.3$Windows_X86_64 LibreOffice_project/da48488a73ddd66ea24cf16bbc4f7b9c08e9bea1</Application>
  <AppVersion>15.0000</AppVersion>
  <Pages>4</Pages>
  <Words>1222</Words>
  <Characters>8389</Characters>
  <CharactersWithSpaces>9569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2024-12-13T15:09:59Z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