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2.jpeg" ContentType="image/jpeg"/>
  <Override PartName="/word/media/image3.png" ContentType="image/png"/>
  <Override PartName="/word/media/image4.jpeg" ContentType="image/jpeg"/>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380"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380"/>
      </w:tblGrid>
      <w:tr>
        <w:trPr>
          <w:trHeight w:val="346" w:hRule="atLeast"/>
        </w:trPr>
        <w:tc>
          <w:tcPr>
            <w:tcW w:w="10380"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t>Procedimento: Descompressão Cirúrgica de Nervos do Membro Superior</w:t>
            </w:r>
          </w:p>
        </w:tc>
      </w:tr>
    </w:tbl>
    <w:p>
      <w:pPr>
        <w:pStyle w:val="Normal"/>
        <w:tabs>
          <w:tab w:val="clear" w:pos="720"/>
          <w:tab w:val="left" w:pos="426" w:leader="none"/>
        </w:tabs>
        <w:spacing w:lineRule="auto" w:line="240" w:before="0" w:after="0"/>
        <w:ind w:left="426"/>
        <w:rPr/>
      </w:pPr>
      <w:r>
        <w:rPr/>
      </w:r>
    </w:p>
    <w:tbl>
      <w:tblPr>
        <w:tblW w:w="1038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80"/>
        <w:gridCol w:w="8099"/>
      </w:tblGrid>
      <w:tr>
        <w:trPr/>
        <w:tc>
          <w:tcPr>
            <w:tcW w:w="1037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80" w:type="dxa"/>
            <w:tcBorders>
              <w:left w:val="single" w:sz="4" w:space="0" w:color="000000"/>
            </w:tcBorders>
          </w:tcPr>
          <w:p>
            <w:pPr>
              <w:pStyle w:val="Normal"/>
              <w:spacing w:lineRule="auto" w:line="240" w:before="0" w:after="0"/>
              <w:ind w:left="39"/>
              <w:rPr/>
            </w:pPr>
            <w:r>
              <w:rPr>
                <w:lang w:eastAsia="en-US" w:bidi="ar-SA"/>
              </w:rPr>
              <w:t>Nome: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Data de Nascimento:</w:t>
            </w:r>
          </w:p>
        </w:tc>
        <w:tc>
          <w:tcPr>
            <w:tcW w:w="8099"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80" w:type="dxa"/>
            <w:tcBorders>
              <w:left w:val="single" w:sz="4" w:space="0" w:color="000000"/>
            </w:tcBorders>
          </w:tcPr>
          <w:p>
            <w:pPr>
              <w:pStyle w:val="Normal"/>
              <w:spacing w:lineRule="auto" w:line="240" w:before="0" w:after="0"/>
              <w:ind w:left="39"/>
              <w:rPr/>
            </w:pPr>
            <w:r>
              <w:rPr>
                <w:lang w:eastAsia="en-US" w:bidi="ar-SA"/>
              </w:rPr>
              <w:t>CPF/ME:</w:t>
            </w:r>
          </w:p>
        </w:tc>
        <w:tc>
          <w:tcPr>
            <w:tcW w:w="8099"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80"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8099"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320"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400"/>
        <w:gridCol w:w="7919"/>
      </w:tblGrid>
      <w:tr>
        <w:trPr/>
        <w:tc>
          <w:tcPr>
            <w:tcW w:w="10319"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400" w:type="dxa"/>
            <w:tcBorders>
              <w:left w:val="single" w:sz="4" w:space="0" w:color="000000"/>
            </w:tcBorders>
          </w:tcPr>
          <w:p>
            <w:pPr>
              <w:pStyle w:val="Normal"/>
              <w:spacing w:lineRule="auto" w:line="240" w:before="0" w:after="0"/>
              <w:rPr/>
            </w:pPr>
            <w:r>
              <w:rPr>
                <w:lang w:eastAsia="en-US" w:bidi="ar-SA"/>
              </w:rPr>
              <w:t>Nome do Responsável:</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Endereço:</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Telefone: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tcBorders>
          </w:tcPr>
          <w:p>
            <w:pPr>
              <w:pStyle w:val="Normal"/>
              <w:spacing w:lineRule="auto" w:line="240" w:before="0" w:after="0"/>
              <w:rPr/>
            </w:pPr>
            <w:r>
              <w:rPr>
                <w:lang w:eastAsia="en-US" w:bidi="ar-SA"/>
              </w:rPr>
              <w:t>CPF/ME:</w:t>
            </w:r>
          </w:p>
        </w:tc>
        <w:tc>
          <w:tcPr>
            <w:tcW w:w="791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400"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91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Por este instrumento particular, declaro, para todos os fins de direito que, em especial para fins do disposto nos artigos 6º, III e 39, VI, ambos da Lei 8.078/90 (“</w:t>
      </w:r>
      <w:r>
        <w:rPr>
          <w:rFonts w:eastAsia="Calibri" w:cs="Calibri" w:cstheme="minorHAnsi"/>
          <w:color w:val="auto"/>
          <w:kern w:val="0"/>
          <w:sz w:val="22"/>
          <w:szCs w:val="22"/>
          <w:u w:val="single"/>
          <w:lang w:val="pt-BR" w:eastAsia="ja-JP" w:bidi="ar-SA"/>
        </w:rPr>
        <w:t>Código de Defesa do Consumidor</w:t>
      </w:r>
      <w:r>
        <w:rPr>
          <w:rFonts w:eastAsia="Calibri" w:cs="Calibri" w:cstheme="minorHAnsi"/>
          <w:color w:val="auto"/>
          <w:kern w:val="0"/>
          <w:sz w:val="22"/>
          <w:szCs w:val="22"/>
          <w:lang w:val="pt-BR" w:eastAsia="ja-JP" w:bidi="ar-SA"/>
        </w:rPr>
        <w:t>” ou “</w:t>
      </w:r>
      <w:r>
        <w:rPr>
          <w:rFonts w:eastAsia="Calibri" w:cs="Calibri" w:cstheme="minorHAnsi"/>
          <w:color w:val="auto"/>
          <w:kern w:val="0"/>
          <w:sz w:val="22"/>
          <w:szCs w:val="22"/>
          <w:u w:val="single"/>
          <w:lang w:val="pt-BR" w:eastAsia="ja-JP" w:bidi="ar-SA"/>
        </w:rPr>
        <w:t>CDC</w:t>
      </w:r>
      <w:r>
        <w:rPr>
          <w:rFonts w:eastAsia="Calibri" w:cs="Calibri" w:cstheme="minorHAnsi"/>
          <w:color w:val="auto"/>
          <w:kern w:val="0"/>
          <w:sz w:val="22"/>
          <w:szCs w:val="22"/>
          <w:lang w:val="pt-BR" w:eastAsia="ja-JP" w:bidi="ar-SA"/>
        </w:rPr>
        <w:t xml:space="preserve">”), </w:t>
      </w:r>
      <w:r>
        <w:rPr>
          <w:rFonts w:eastAsia="Calibri" w:cs="Calibri" w:cstheme="minorHAnsi"/>
          <w:b/>
          <w:bCs/>
          <w:color w:val="auto"/>
          <w:kern w:val="0"/>
          <w:sz w:val="22"/>
          <w:szCs w:val="22"/>
          <w:lang w:val="pt-BR" w:eastAsia="ja-JP" w:bidi="ar-SA"/>
        </w:rPr>
        <w:t xml:space="preserve">que, sem qualquer vício de vontade ou consentimento, dá total autorização </w:t>
      </w:r>
      <w:r>
        <w:rPr>
          <w:rFonts w:eastAsia="Calibri" w:cs="Calibri" w:cstheme="minorHAnsi"/>
          <w:color w:val="auto"/>
          <w:kern w:val="0"/>
          <w:sz w:val="22"/>
          <w:szCs w:val="22"/>
          <w:lang w:val="pt-BR" w:eastAsia="ja-JP" w:bidi="ar-SA"/>
        </w:rPr>
        <w:t xml:space="preserve">ao médico para proceder às investigações necessárias ao diagnóstico do seu estado de saúde, bem como executar o Procedimento Cirúrgico designado </w:t>
      </w:r>
      <w:r>
        <w:rPr>
          <w:rFonts w:eastAsia="Calibri" w:cs="Calibri" w:cstheme="minorHAnsi"/>
          <w:b/>
          <w:bCs/>
          <w:color w:val="auto"/>
          <w:kern w:val="0"/>
          <w:sz w:val="22"/>
          <w:szCs w:val="22"/>
          <w:lang w:val="pt-BR" w:eastAsia="ja-JP" w:bidi="ar-SA"/>
        </w:rPr>
        <w:t xml:space="preserve">Descompressão Cirúrgica de Nervos do Membro Superior </w:t>
      </w:r>
      <w:r>
        <w:rPr>
          <w:rFonts w:eastAsia="Calibri" w:cs="Calibri" w:cstheme="minorHAnsi"/>
          <w:color w:val="auto"/>
          <w:kern w:val="0"/>
          <w:sz w:val="22"/>
          <w:szCs w:val="22"/>
          <w:lang w:val="pt-BR" w:eastAsia="ja-JP" w:bidi="ar-SA"/>
        </w:rPr>
        <w:t xml:space="preserve"> (o “</w:t>
      </w:r>
      <w:r>
        <w:rPr>
          <w:rFonts w:eastAsia="Calibri" w:cs="Calibri" w:cstheme="minorHAnsi"/>
          <w:color w:val="auto"/>
          <w:kern w:val="0"/>
          <w:sz w:val="22"/>
          <w:szCs w:val="22"/>
          <w:u w:val="single"/>
          <w:lang w:val="pt-BR" w:eastAsia="ja-JP" w:bidi="ar-SA"/>
        </w:rPr>
        <w:t>Procedimento</w:t>
      </w:r>
      <w:r>
        <w:rPr>
          <w:rFonts w:eastAsia="Calibri" w:cs="Calibri" w:cstheme="minorHAnsi"/>
          <w:color w:val="auto"/>
          <w:kern w:val="0"/>
          <w:sz w:val="22"/>
          <w:szCs w:val="22"/>
          <w:lang w:val="pt-BR" w:eastAsia="ja-JP" w:bidi="ar-SA"/>
        </w:rPr>
        <w:t>”),  a ser realizado no Hospital Orizonti, localizado na Avenida José de Patrocínio Pontes, n° 1355, Bairro Mangabeiras, CEP n° 30.210-090, na Cidade de Belo Horizonte, Estado de Minas Gerais.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Assim sendo, declaro que o Médico, atendendo ao que determinam os artigos 22 e 34 da Resolução CFM no. 1.931/09 (“</w:t>
      </w:r>
      <w:r>
        <w:rPr>
          <w:rFonts w:eastAsia="Calibri" w:cs="Calibri" w:cstheme="minorHAnsi"/>
          <w:color w:val="auto"/>
          <w:kern w:val="0"/>
          <w:sz w:val="22"/>
          <w:szCs w:val="22"/>
          <w:u w:val="single"/>
          <w:lang w:val="pt-BR" w:eastAsia="ja-JP" w:bidi="ar-SA"/>
        </w:rPr>
        <w:t>Código de Ética Médica</w:t>
      </w:r>
      <w:r>
        <w:rPr>
          <w:rFonts w:eastAsia="Calibri" w:cs="Calibri" w:cstheme="minorHAnsi"/>
          <w:color w:val="auto"/>
          <w:kern w:val="0"/>
          <w:sz w:val="22"/>
          <w:szCs w:val="22"/>
          <w:lang w:val="pt-BR" w:eastAsia="ja-JP"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DIAGNÓSTICO:</w:t>
      </w:r>
      <w:r>
        <w:rPr>
          <w:rFonts w:eastAsia="Calibri" w:cs="Calibri" w:cstheme="minorHAnsi"/>
          <w:color w:val="auto"/>
          <w:kern w:val="0"/>
          <w:sz w:val="22"/>
          <w:szCs w:val="22"/>
          <w:lang w:val="pt-BR" w:eastAsia="ja-JP" w:bidi="ar-SA"/>
        </w:rPr>
        <w:t xml:space="preserve"> Distúrbio compressivo afetando nervos dos membros superiores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 xml:space="preserve">DEFINIÇÃO DO PROCEDIMENTO: </w:t>
      </w:r>
      <w:r>
        <w:rPr>
          <w:rFonts w:eastAsia="Calibri" w:cs="Calibri" w:cstheme="minorHAnsi"/>
          <w:b w:val="false"/>
          <w:bCs w:val="false"/>
          <w:color w:val="auto"/>
          <w:kern w:val="0"/>
          <w:sz w:val="22"/>
          <w:szCs w:val="22"/>
          <w:lang w:val="pt-BR" w:eastAsia="ja-JP" w:bidi="ar-SA"/>
        </w:rPr>
        <w:t>Descompressão cirúrgica de nervos dos membros superiores com desfazimento de cicatrizes, fibroses e secção de túneis fibrosos ou aponeuroses.</w:t>
      </w:r>
    </w:p>
    <w:p>
      <w:pPr>
        <w:pStyle w:val="ListParagraph"/>
        <w:widowControl/>
        <w:numPr>
          <w:ilvl w:val="0"/>
          <w:numId w:val="0"/>
        </w:numPr>
        <w:suppressAutoHyphens w:val="true"/>
        <w:bidi w:val="0"/>
        <w:spacing w:lineRule="auto" w:line="240"/>
        <w:ind w:hanging="0" w:left="-567" w:right="-227"/>
        <w:jc w:val="both"/>
        <w:rPr>
          <w:rFonts w:eastAsia="Calibri" w:cs="Calibri" w:cstheme="minorHAnsi"/>
          <w:b w:val="false"/>
          <w:bCs w:val="false"/>
          <w:color w:val="auto"/>
          <w:kern w:val="0"/>
          <w:sz w:val="22"/>
          <w:szCs w:val="22"/>
          <w:lang w:val="pt-BR" w:eastAsia="ja-JP" w:bidi="ar-SA"/>
        </w:rPr>
      </w:pPr>
      <w:r>
        <w:rPr>
          <w:rFonts w:eastAsia="Calibri" w:cs="Calibri" w:cstheme="minorHAnsi"/>
          <w:b w:val="false"/>
          <w:bCs w:val="false"/>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pPr>
      <w:r>
        <w:rPr>
          <w:rFonts w:eastAsia="Calibri" w:cs="Calibri" w:cstheme="minorHAnsi"/>
          <w:b/>
          <w:bCs/>
          <w:color w:val="auto"/>
          <w:kern w:val="0"/>
          <w:sz w:val="22"/>
          <w:szCs w:val="22"/>
          <w:lang w:val="pt-BR" w:eastAsia="ja-JP" w:bidi="ar-SA"/>
        </w:rPr>
        <w:t xml:space="preserve">RISCOS, COMPLICAÇÕES: </w:t>
      </w:r>
      <w:r>
        <w:rPr>
          <w:rFonts w:eastAsia="Calibri" w:cs="Calibri" w:cstheme="minorHAnsi"/>
          <w:b w:val="false"/>
          <w:bCs w:val="false"/>
          <w:color w:val="auto"/>
          <w:kern w:val="0"/>
          <w:sz w:val="22"/>
          <w:szCs w:val="22"/>
          <w:lang w:val="pt-BR" w:eastAsia="ja-JP" w:bidi="ar-SA"/>
        </w:rPr>
        <w:t>Formação de hematomas superficiais que comprimam nervos ou estruturas vasculares causando síndromes vasculares e neuropáticas, infecções envolvendo pele, subcutâneo com necessidade de tratamento cirúrgico sequencial ou medicamentoso.  Redução ou perda da capacidade de sentir parte do membro superior, redução da perda ou capacidade de mover parte do membro superior. Podem surgir ou agravar-se síndromes disestésicas caracterizadas por queimação, formigamento, fincadas ou hipoestesia de caráter transitório, prolongado ou definitivo, risco de óbito.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b w:val="false"/>
          <w:bCs w:val="false"/>
          <w:color w:val="auto"/>
          <w:kern w:val="0"/>
          <w:sz w:val="22"/>
          <w:szCs w:val="22"/>
          <w:lang w:val="pt-BR" w:eastAsia="ja-JP" w:bidi="ar-SA"/>
        </w:rPr>
      </w:pPr>
      <w:r>
        <w:rPr>
          <w:rFonts w:eastAsia="Calibri" w:cs="Calibri" w:cstheme="minorHAnsi"/>
          <w:b w:val="false"/>
          <w:bCs w:val="false"/>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b/>
          <w:bCs/>
          <w:color w:val="auto"/>
          <w:kern w:val="0"/>
          <w:sz w:val="22"/>
          <w:szCs w:val="22"/>
          <w:lang w:val="pt-BR" w:eastAsia="ja-JP" w:bidi="ar-SA"/>
        </w:rPr>
        <w:t>TRATAMENTOS ALTERNATIVOS:</w:t>
      </w:r>
      <w:r>
        <w:rPr>
          <w:rFonts w:eastAsia="Calibri" w:cs="Calibri" w:cstheme="minorHAnsi"/>
          <w:color w:val="auto"/>
          <w:kern w:val="0"/>
          <w:sz w:val="22"/>
          <w:szCs w:val="22"/>
          <w:lang w:val="pt-BR" w:eastAsia="ja-JP" w:bidi="ar-SA"/>
        </w:rPr>
        <w:t xml:space="preserve"> O tratamento cirúrgico foi indicado como melhor alternativa frente aos riscos trazidos pela doença e suas abordagens. Não há alternativas terapêuticas cuja efetividade se compare ao tratamento cirúrgico proposto.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Declaro, adicionalmente, que: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3. Assim, declaro também estar ciente de que o Procedimento não implica necessariamente na cura, e que a evolução da doença e o tratamento poderão eventualmente modificar condutas inicialmente propostas.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5. Para realizar o Procedimento, (i) será necessária a aplicação de anestesia, cujos métodos, técnicas e fármacos anestésicos serão de indicação exclusiva do médico anestesiologista; e que estou ciente também que os riscos, benefícios e alternativas de cada procedimento anestésico, são objeto do Consentimento Livre e Esclarecido específico, [a ser emitido pelo médico anestesiologista] ou [emitido pelo médico anestesiologista e já assinado pelo Paciente ou o seu responsável] e (ii) </w:t>
      </w:r>
      <w:r>
        <w:rPr>
          <w:rFonts w:eastAsia="Calibri" w:cs="Calibri" w:cstheme="minorHAnsi"/>
          <w:b/>
          <w:bCs/>
          <w:color w:val="auto"/>
          <w:kern w:val="0"/>
          <w:sz w:val="22"/>
          <w:szCs w:val="22"/>
          <w:lang w:val="pt-BR" w:eastAsia="ja-JP" w:bidi="ar-SA"/>
        </w:rPr>
        <w:t>PODERÁ SER NECESSÁRIA A INFUSÃO DE SANGUE E SEUS COMPONENTES (TRANSFUSÃO DE SANGUE) NO PACIENTE.</w:t>
      </w:r>
      <w:r>
        <w:rPr>
          <w:rFonts w:eastAsia="Calibri" w:cs="Calibri" w:cstheme="minorHAnsi"/>
          <w:color w:val="auto"/>
          <w:kern w:val="0"/>
          <w:sz w:val="22"/>
          <w:szCs w:val="22"/>
          <w:lang w:val="pt-BR" w:eastAsia="ja-JP" w:bidi="ar-SA"/>
        </w:rPr>
        <w:t xml:space="preserve"> A transfusão de sangue e hemocomponentes é o procedimento pelo qual ocorre a transferência de certa quantidade de sangue ou de alguns de seus componentes (concentrado de hemácias, plasma fresco, plaquetas ou criopreciptado etc), de um indivíduo-doador para o Paciente-receptor. Apesar dos hemocomponentes serem preparados e testados de acordo com normas rígidas estabelecidas pela Agência Nacional de Vigilância Sanitária (ANVISA), complementadas por normas internacionais de transfusão, existe a possibilidade de ocorrem reações adversas à transfusão. As reações poderão ser leves ou graves, imediatas ou tardias, apresentando sintomas como náuseas, febre, sudorese, calafrios, ou ainda dispneia, e serem classificadas como reações alérgicas, reações febris não hemolíticas, hemolíticas agudas, lesão pulmonar aguada associada à transfusão, hipotensão, sobrecarga volêmica, contaminação bacteriana, doenças infecciosas, dentre outras. Mesmo com a observância e realização de todos os exames sorológicos previstos em lei para garantir a segurança transfusional, existe o risco de a transfusão transmitir doenças infecciosas (tais como hepatite B e C, HIV, Chagas, Sífilis).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6. Para a realização do Procedimento será necessário realizar o posicionamento cirúrgico específico e em alguns casos a utilização de fixadores que são de extrema importância para que o cirurgião consiga realizar a técnica cirúrgica. Devido à impossibilidade de mobilização do Paciente e a utilização de fixadores, durante o procedimento podem ocorrer lesões/hematomas nas superfícies corpóreas que ficarem sobre pressão. Com objetivo de minimizar os riscos de lesão, a Instituição realiza a proteção de proeminências ósseas, disponibiliza colchonetes com densidade apropriada, dentre outros dispositivos, e, quando possível, a mobilização corpórea.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7.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8. Os registros fotográficos da pele ou lesões, caso ocorram, são autorizados e ficarão limitados aos profissionais de saúde do </w:t>
      </w:r>
      <w:r>
        <w:rPr>
          <w:rFonts w:eastAsia="Calibri" w:cs="Calibri" w:cstheme="minorHAnsi"/>
          <w:color w:val="auto"/>
          <w:kern w:val="0"/>
          <w:sz w:val="22"/>
          <w:szCs w:val="22"/>
          <w:lang w:val="pt-BR" w:eastAsia="ja-JP" w:bidi="ar-SA"/>
        </w:rPr>
        <w:t xml:space="preserve">Grupo </w:t>
      </w:r>
      <w:r>
        <w:rPr>
          <w:rFonts w:eastAsia="Calibri" w:cs="Calibri" w:cstheme="minorHAnsi"/>
          <w:color w:val="auto"/>
          <w:kern w:val="0"/>
          <w:sz w:val="22"/>
          <w:szCs w:val="22"/>
          <w:lang w:val="pt-BR" w:eastAsia="ja-JP" w:bidi="ar-SA"/>
        </w:rPr>
        <w:t>Orizonti.</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9. Autorizo que qualquer tecido seja removido cirurgicamente e que seja encaminhado para exames complementares, desde que necessário para o esclarecimento diagnóstico ou tratamento.</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10. Autorizo a divulgação das informações médicas contidas em meu prontuário, exclusivamente para finalidade científica da Instituição, desde que minha identidade permaneça anônima.</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11. Autorizo a realização de filmagens/fotografias e, caso necessário, a veiculação das referidas imagens para fins científicos. Estou ciente também, que tais procedimentos serão realizados por profissionais indicados pelo(a) meu(minha) médico(a)/cirurgião(ã), sem qualquer ônus financeiro, presente ou futuro, assegurando o pleno sigilo de minha identidade.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 </w:t>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 xml:space="preserve">Pleno deste entendimento, </w:t>
      </w:r>
      <w:r>
        <w:rPr>
          <w:rFonts w:eastAsia="Calibri" w:cs="Calibri" w:cstheme="minorHAnsi"/>
          <w:b/>
          <w:bCs/>
          <w:color w:val="auto"/>
          <w:kern w:val="0"/>
          <w:sz w:val="22"/>
          <w:szCs w:val="22"/>
          <w:lang w:val="pt-BR" w:eastAsia="ja-JP" w:bidi="ar-SA"/>
        </w:rPr>
        <w:t>autorizo a realização do tratamento proposto e dos demais procedimentos necessários.</w:t>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ListParagraph"/>
        <w:widowControl/>
        <w:suppressAutoHyphens w:val="true"/>
        <w:bidi w:val="0"/>
        <w:spacing w:lineRule="auto" w:line="360" w:before="120" w:afterAutospacing="1"/>
        <w:ind w:hanging="397" w:left="-227" w:right="-283"/>
        <w:contextualSpacing/>
        <w:jc w:val="both"/>
        <w:rPr>
          <w:rFonts w:ascii="Calibri" w:hAnsi="Calibri" w:eastAsia="Times New Roman" w:cs="Calibri" w:cstheme="minorHAnsi"/>
          <w:b w:val="false"/>
          <w:bCs w:val="false"/>
          <w:color w:val="auto"/>
          <w:kern w:val="0"/>
          <w:lang w:val="pt-BR" w:eastAsia="pt-BR" w:bidi="ar-SA"/>
        </w:rPr>
      </w:pPr>
      <w:r>
        <w:rPr>
          <w:rFonts w:eastAsia="Times New Roman" w:cs="Calibri" w:cstheme="minorHAnsi"/>
          <w:b w:val="false"/>
          <w:bCs w:val="false"/>
          <w:color w:val="auto"/>
          <w:kern w:val="0"/>
          <w:lang w:val="pt-BR" w:eastAsia="pt-BR" w:bidi="ar-SA"/>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Normal"/>
        <w:spacing w:lineRule="auto" w:line="360" w:before="120" w:afterAutospacing="1"/>
        <w:ind w:hanging="510" w:left="-454" w:right="0"/>
        <w:jc w:val="both"/>
        <w:rPr>
          <w:rFonts w:ascii="Calibri" w:hAnsi="Calibri" w:cs="Calibri" w:asciiTheme="minorHAnsi" w:cstheme="minorHAnsi" w:hAnsiTheme="minorHAnsi"/>
          <w:color w:val="auto"/>
          <w:sz w:val="22"/>
          <w:szCs w:val="22"/>
        </w:rPr>
      </w:pPr>
      <w:r>
        <w:rPr>
          <w:rFonts w:cs="Calibri" w:cstheme="minorHAnsi"/>
          <w:color w:val="auto"/>
          <w:sz w:val="22"/>
          <w:szCs w:val="22"/>
        </w:rPr>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Relationship Id="rId12" Type="http://schemas.openxmlformats.org/officeDocument/2006/relationships/customXml" Target="../customXml/item2.xml"/><Relationship Id="rId13" Type="http://schemas.openxmlformats.org/officeDocument/2006/relationships/customXml" Target="../customXml/item3.xml"/><Relationship Id="rId14"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0b537568f80aa720045b4489851b5ae6">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95796a14923b31b2419bb2378a9b55"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B61FD6E2-49F8-44D1-A419-468D1F1E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c8bb0-2207-4937-95e8-ec99e86b9dc7"/>
    <ds:schemaRef ds:uri="1a99865b-ac5c-4feb-ac2e-5d21c12c4b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Application>LibreOffice/24.2.0.3$Windows_X86_64 LibreOffice_project/da48488a73ddd66ea24cf16bbc4f7b9c08e9bea1</Application>
  <AppVersion>15.0000</AppVersion>
  <Pages>4</Pages>
  <Words>1206</Words>
  <Characters>8276</Characters>
  <CharactersWithSpaces>9440</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2024-12-13T15:08:23Z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