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Correção pé calcâneo varo com tendinopatia dos fibulares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3"/>
        <w:gridCol w:w="765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Correção pé calcâneo varo com tendinopatia dos fibulares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cs="Calibri" w:cstheme="minorHAnsi"/>
          <w:b/>
          <w:bCs/>
        </w:rPr>
        <w:t>DIAGNÓSTICO:</w:t>
      </w:r>
      <w:r>
        <w:rPr>
          <w:rFonts w:eastAsia="Calibri" w:cs="Calibri" w:cstheme="minorHAnsi"/>
          <w:b/>
          <w:bCs/>
        </w:rPr>
        <w:t xml:space="preserve"> </w:t>
      </w:r>
      <w:r>
        <w:rPr>
          <w:rFonts w:eastAsia="Calibri" w:cs="Arial"/>
          <w:b w:val="false"/>
          <w:bCs w:val="false"/>
        </w:rPr>
        <w:t>Pé calcâneo varo com tendinopatia dos fibulares e ruptura fibular curto.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eastAsia="Calibri" w:cs="Calibri" w:cstheme="minorHAnsi"/>
          <w:b/>
          <w:bCs/>
        </w:rPr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mc:AlternateContent>
          <mc:Choice Requires="wps">
            <w:drawing>
              <wp:anchor behindDoc="0" distT="11430" distB="11430" distL="12065" distR="10795" simplePos="0" locked="0" layoutInCell="1" allowOverlap="1" relativeHeight="17" wp14:anchorId="389CF6F3">
                <wp:simplePos x="0" y="0"/>
                <wp:positionH relativeFrom="column">
                  <wp:posOffset>748665</wp:posOffset>
                </wp:positionH>
                <wp:positionV relativeFrom="paragraph">
                  <wp:posOffset>34290</wp:posOffset>
                </wp:positionV>
                <wp:extent cx="127635" cy="118110"/>
                <wp:effectExtent l="12065" t="11430" r="10795" b="11430"/>
                <wp:wrapNone/>
                <wp:docPr id="1" name="Retângul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00" cy="118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4" path="m0,0l-2147483645,0l-2147483645,-2147483646l0,-2147483646xe" fillcolor="white" stroked="t" o:allowincell="f" style="position:absolute;margin-left:58.95pt;margin-top:2.7pt;width:10pt;height:9.25pt;mso-wrap-style:none;v-text-anchor:middle" wp14:anchorId="389CF6F3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1430" distB="11430" distL="12065" distR="10795" simplePos="0" locked="0" layoutInCell="1" allowOverlap="1" relativeHeight="18" wp14:anchorId="389CF6F3">
                <wp:simplePos x="0" y="0"/>
                <wp:positionH relativeFrom="column">
                  <wp:posOffset>1834515</wp:posOffset>
                </wp:positionH>
                <wp:positionV relativeFrom="paragraph">
                  <wp:posOffset>29210</wp:posOffset>
                </wp:positionV>
                <wp:extent cx="127635" cy="118110"/>
                <wp:effectExtent l="12065" t="11430" r="10795" b="11430"/>
                <wp:wrapNone/>
                <wp:docPr id="2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00" cy="118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white" stroked="t" o:allowincell="f" style="position:absolute;margin-left:144.45pt;margin-top:2.3pt;width:10pt;height:9.25pt;mso-wrap-style:none;v-text-anchor:middle" wp14:anchorId="389CF6F3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</w:r>
      <w:r>
        <w:rPr>
          <w:rFonts w:cs="Calibri" w:cstheme="minorHAnsi"/>
          <w:b/>
          <w:bCs/>
        </w:rPr>
        <w:t xml:space="preserve">LATERALIDADE:            </w:t>
      </w:r>
      <w:r>
        <w:rPr>
          <w:rFonts w:cs="Calibri" w:cstheme="minorHAnsi"/>
          <w:b w:val="false"/>
          <w:bCs w:val="false"/>
        </w:rPr>
        <w:t>esquerda</w:t>
      </w:r>
      <w:r>
        <w:rPr>
          <w:rFonts w:cs="Calibri" w:cstheme="minorHAnsi"/>
          <w:b/>
          <w:bCs/>
        </w:rPr>
        <w:t xml:space="preserve">                  </w:t>
      </w:r>
      <w:r>
        <w:rPr>
          <w:rFonts w:cs="Calibri" w:cstheme="minorHAnsi"/>
          <w:b w:val="false"/>
          <w:bCs w:val="false"/>
        </w:rPr>
        <w:t>direita</w:t>
      </w:r>
    </w:p>
    <w:p>
      <w:pPr>
        <w:pStyle w:val="Normal"/>
        <w:spacing w:lineRule="auto" w:line="240"/>
        <w:ind w:hanging="0" w:left="-567" w:right="-568"/>
        <w:jc w:val="both"/>
        <w:rPr>
          <w:rFonts w:ascii="Calibri" w:hAnsi="Calibr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cs="Arial"/>
          <w:bCs/>
        </w:rPr>
        <w:t>Correção pé calcâneo varo e tenoplastia fibulares</w:t>
      </w:r>
      <w:r>
        <w:rPr>
          <w:rFonts w:cs="Arial"/>
        </w:rPr>
        <w:t>.</w:t>
      </w:r>
      <w:r>
        <w:rPr>
          <w:rFonts w:cs="Calibri" w:cstheme="minorHAnsi"/>
          <w:b/>
          <w:bCs/>
        </w:rPr>
        <w:t xml:space="preserve"> </w:t>
      </w:r>
    </w:p>
    <w:p>
      <w:pPr>
        <w:pStyle w:val="Normal"/>
        <w:spacing w:lineRule="auto" w:line="240"/>
        <w:ind w:hanging="0" w:left="-567" w:right="-568"/>
        <w:jc w:val="both"/>
        <w:rPr>
          <w:rFonts w:ascii="Calibri" w:hAnsi="Calibri"/>
        </w:rPr>
      </w:pPr>
      <w:r>
        <w:rPr/>
      </w:r>
    </w:p>
    <w:p>
      <w:pPr>
        <w:pStyle w:val="Normal"/>
        <w:spacing w:lineRule="auto" w:line="240"/>
        <w:ind w:hanging="0" w:left="-567" w:right="-568"/>
        <w:jc w:val="both"/>
        <w:rPr>
          <w:rFonts w:ascii="Calibri" w:hAnsi="Calibr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Alterações da pele tais como epidermólise e necrose superficial e/ou profunda;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Infecção superficial e/ou profunda no local da cirurgia;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Trombose venosa profunda e Tromboembolismo, podendo levar a complicações sistêmicas graves;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13"/>
        <w:jc w:val="both"/>
        <w:textAlignment w:val="baseline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Problemas circulatórios agudos tais com obstrução arterial levando a isquemia do membro e possibilidade de amputação;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13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específicas do material de síntese, tais como falha, soltura, etc...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13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Não consolidação óssea, havendo a necessidade de reoperação;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13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Perda da correção inicialmente proposta e/ou falha em obter a correção desejada prevista para o procedimento proposto;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13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relacionadas ao pós operatório:  Falha na reabilitação, distrofia simpático reflexa, edema residual, dor residual crônica, dor noturna e outras.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13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relacionadas com a cicatriz tais com cicatriz hipertrofica e/ou queloide;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13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Problemas tardios na reabilitação comprometendo o resultado final do procedimento proposto.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13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Parestesias em determinadas áreas devido à alterações pós operatórias dos nervos periféricos (Neuropraxia, etc);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Tromboembolismo pulmonar;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Óbito.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eastAsia="Calibri" w:cs="Calibri" w:cstheme="minorHAnsi"/>
          <w:b/>
          <w:bCs/>
        </w:rPr>
        <w:t>TRATAMENTOS ALTERNATIVOS:</w:t>
      </w:r>
      <w:r>
        <w:rPr>
          <w:rFonts w:eastAsia="Calibri" w:cs="Calibri" w:cstheme="minorHAnsi"/>
          <w:b w:val="false"/>
          <w:bCs w:val="false"/>
        </w:rPr>
        <w:t xml:space="preserve"> Tratamento conservador, porém sem sucesso e já realizado</w:t>
      </w:r>
      <w:bookmarkStart w:id="0" w:name="_GoBack"/>
      <w:bookmarkEnd w:id="0"/>
      <w:r>
        <w:rPr>
          <w:rFonts w:eastAsia="Calibri" w:cs="Calibri" w:cstheme="minorHAnsi"/>
          <w:b w:val="false"/>
          <w:bCs w:val="false"/>
        </w:rPr>
        <w:t>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eastAsia="Calibri" w:cs="Calibri" w:cstheme="minorHAnsi"/>
          <w:b/>
          <w:bCs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8. Os registros fotográficos da pele ou lesões, caso ocorram, são autorizados e ficarão limitados aos profissionais de saúde do Grupo  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val="pt-PT" w:eastAsia="pt-BR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5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8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9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3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LibreOffice/24.2.0.3$Windows_X86_64 LibreOffice_project/da48488a73ddd66ea24cf16bbc4f7b9c08e9bea1</Application>
  <AppVersion>15.0000</AppVersion>
  <Pages>5</Pages>
  <Words>1266</Words>
  <Characters>8613</Characters>
  <CharactersWithSpaces>9853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2024-12-27T09:35:05Z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