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Arial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Coronariografia e Estudo Hemodinâmico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Arial" w:cstheme="minorHAnsi"/>
          <w:b/>
          <w:bCs/>
          <w:sz w:val="24"/>
          <w:szCs w:val="24"/>
        </w:rPr>
        <w:t>Coronariografia e Estudo Hemodinâmico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MOTIVO PARA REALIZAÇÃO DO EXAME</w:t>
      </w:r>
      <w:r>
        <w:rPr>
          <w:rFonts w:cs="Calibri" w:cstheme="minorHAnsi"/>
        </w:rPr>
        <w:t xml:space="preserve">: </w:t>
      </w:r>
      <w:r>
        <w:rPr>
          <w:rFonts w:cs="Arial" w:cstheme="minorHAnsi"/>
        </w:rPr>
        <w:t xml:space="preserve">O seu médico solicitou que o (a) Sr. (a) fizesse um exame diagnóstico conhecido como </w:t>
      </w:r>
      <w:r>
        <w:rPr>
          <w:rFonts w:cs="Arial" w:cstheme="minorHAnsi"/>
          <w:b/>
          <w:bCs/>
        </w:rPr>
        <w:t>cateterismo cardíaco</w:t>
      </w:r>
      <w:r>
        <w:rPr>
          <w:rFonts w:cs="Arial" w:cstheme="minorHAnsi"/>
        </w:rPr>
        <w:t>, também chamado de cineangiocoronariografia com ventriculografia esquerda. Esse exame tem por finalidade principal identificar (diagnosticar) diversos problemas e/ou doenças cardíacas, inclusive obstruções nos vasos sanguíneos que irrigam o próprio coração (artérias coronárias). Esse exame não tem a finalidade, pelo menos inicialmente, de ser um método de tratamento.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eastAsia="Tahoma" w:cs="Arial" w:cstheme="minorHAnsi"/>
          <w:color w:val="000000"/>
        </w:rPr>
        <w:t>O cateterismo cardíaco será realizado com anestesia local e sedação (realizado pelo anestesista). O exame consiste na introdução de finos tubos plásticos denominados cateteres nas artérias e/ou veias, podendo ser no braço e/ou pernas, dependendo da avaliação do médico. O cateter é avançado ao coração onde é medido as pressões, e para visualizar as estruturas cardíacas e vasos sanguíneos usamos um “corante” chamado de contraste que aparece na filmagem com raios-x. O contraste é constituído por substâncias à base de iodo.</w:t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567" w:right="-28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</w:t>
      </w:r>
      <w:r>
        <w:rPr>
          <w:rFonts w:cs="Arial" w:cstheme="minorHAnsi"/>
        </w:rPr>
        <w:t>Apesar de pouco frequentes, podem ocorrer complicações que estão listadas a seguir:</w:t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567" w:right="-28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Arial" w:cstheme="minorHAnsi"/>
          <w:i/>
          <w:lang w:val="en-US"/>
        </w:rPr>
        <w:t>TABELA DE PERCENTUAIS DE RISCO - ANGIOGRAFIA POR CATETER</w:t>
      </w:r>
    </w:p>
    <w:tbl>
      <w:tblPr>
        <w:tblW w:w="864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530"/>
        <w:gridCol w:w="2109"/>
      </w:tblGrid>
      <w:tr>
        <w:trPr>
          <w:trHeight w:val="398" w:hRule="atLeast"/>
        </w:trPr>
        <w:tc>
          <w:tcPr>
            <w:tcW w:w="6530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ind w:left="40"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Mortalidade</w:t>
            </w:r>
          </w:p>
        </w:tc>
        <w:tc>
          <w:tcPr>
            <w:tcW w:w="2109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0.11%</w:t>
            </w:r>
          </w:p>
        </w:tc>
      </w:tr>
      <w:tr>
        <w:trPr>
          <w:trHeight w:val="389" w:hRule="atLeast"/>
        </w:trPr>
        <w:tc>
          <w:tcPr>
            <w:tcW w:w="6530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left="40"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Infarto do Miocárdio</w:t>
            </w:r>
          </w:p>
        </w:tc>
        <w:tc>
          <w:tcPr>
            <w:tcW w:w="210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0.05%</w:t>
            </w:r>
          </w:p>
        </w:tc>
      </w:tr>
      <w:tr>
        <w:trPr>
          <w:trHeight w:val="398" w:hRule="atLeast"/>
        </w:trPr>
        <w:tc>
          <w:tcPr>
            <w:tcW w:w="6530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left="40"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Acidente Cérebro Vascular</w:t>
            </w:r>
          </w:p>
        </w:tc>
        <w:tc>
          <w:tcPr>
            <w:tcW w:w="210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0.07%</w:t>
            </w:r>
          </w:p>
        </w:tc>
      </w:tr>
      <w:tr>
        <w:trPr>
          <w:trHeight w:val="370" w:hRule="atLeast"/>
        </w:trPr>
        <w:tc>
          <w:tcPr>
            <w:tcW w:w="6530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left="40"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Arritimia</w:t>
            </w:r>
          </w:p>
        </w:tc>
        <w:tc>
          <w:tcPr>
            <w:tcW w:w="210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0.38%</w:t>
            </w:r>
          </w:p>
        </w:tc>
      </w:tr>
      <w:tr>
        <w:trPr>
          <w:trHeight w:val="413" w:hRule="atLeast"/>
        </w:trPr>
        <w:tc>
          <w:tcPr>
            <w:tcW w:w="6530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left="40"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Complicações Vasculares</w:t>
            </w:r>
          </w:p>
        </w:tc>
        <w:tc>
          <w:tcPr>
            <w:tcW w:w="210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0.43%</w:t>
            </w:r>
          </w:p>
        </w:tc>
      </w:tr>
      <w:tr>
        <w:trPr>
          <w:trHeight w:val="379" w:hRule="atLeast"/>
        </w:trPr>
        <w:tc>
          <w:tcPr>
            <w:tcW w:w="6530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left="40"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Reações ao Contraste</w:t>
            </w:r>
          </w:p>
        </w:tc>
        <w:tc>
          <w:tcPr>
            <w:tcW w:w="210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0,37%</w:t>
            </w:r>
          </w:p>
        </w:tc>
      </w:tr>
      <w:tr>
        <w:trPr>
          <w:trHeight w:val="389" w:hRule="atLeast"/>
        </w:trPr>
        <w:tc>
          <w:tcPr>
            <w:tcW w:w="6530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left="40"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Complicações Hemodinâmicas</w:t>
            </w:r>
          </w:p>
        </w:tc>
        <w:tc>
          <w:tcPr>
            <w:tcW w:w="210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0.26%</w:t>
            </w:r>
          </w:p>
        </w:tc>
      </w:tr>
      <w:tr>
        <w:trPr>
          <w:trHeight w:val="384" w:hRule="atLeast"/>
        </w:trPr>
        <w:tc>
          <w:tcPr>
            <w:tcW w:w="6530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ind w:left="40"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Perfuração de Câmaras Cardíacas</w:t>
            </w:r>
          </w:p>
        </w:tc>
        <w:tc>
          <w:tcPr>
            <w:tcW w:w="2109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0.03%</w:t>
            </w:r>
          </w:p>
        </w:tc>
      </w:tr>
    </w:tbl>
    <w:p>
      <w:pPr>
        <w:pStyle w:val="BodyText"/>
        <w:spacing w:lineRule="auto" w:line="240" w:before="120" w:after="0"/>
        <w:ind w:left="-567" w:right="-568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/>
          <w:color w:val="auto"/>
        </w:rPr>
      </w:r>
    </w:p>
    <w:tbl>
      <w:tblPr>
        <w:tblW w:w="822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411"/>
        <w:gridCol w:w="1809"/>
      </w:tblGrid>
      <w:tr>
        <w:trPr>
          <w:trHeight w:val="394" w:hRule="atLeast"/>
        </w:trPr>
        <w:tc>
          <w:tcPr>
            <w:tcW w:w="641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left="40"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Outras Complicações</w:t>
            </w:r>
          </w:p>
        </w:tc>
        <w:tc>
          <w:tcPr>
            <w:tcW w:w="180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0.28%</w:t>
            </w:r>
          </w:p>
        </w:tc>
      </w:tr>
      <w:tr>
        <w:trPr>
          <w:trHeight w:val="341" w:hRule="atLeast"/>
        </w:trPr>
        <w:tc>
          <w:tcPr>
            <w:tcW w:w="6411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ind w:left="40"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Total de Complicações Maiores</w:t>
            </w:r>
          </w:p>
        </w:tc>
        <w:tc>
          <w:tcPr>
            <w:tcW w:w="1809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427"/>
              <w:rPr>
                <w:rFonts w:cs="Arial" w:cstheme="minorHAnsi"/>
                <w:i/>
                <w:i/>
              </w:rPr>
            </w:pPr>
            <w:r>
              <w:rPr>
                <w:rFonts w:cs="Arial" w:cstheme="minorHAnsi"/>
                <w:i/>
              </w:rPr>
              <w:t>1.70%</w:t>
            </w:r>
          </w:p>
        </w:tc>
      </w:tr>
    </w:tbl>
    <w:p>
      <w:pPr>
        <w:pStyle w:val="Normal"/>
        <w:spacing w:lineRule="auto" w:line="240" w:before="167" w:after="200"/>
        <w:ind w:right="-427"/>
        <w:rPr>
          <w:rFonts w:cs="Arial" w:cstheme="minorHAnsi"/>
          <w:i/>
          <w:i/>
        </w:rPr>
      </w:pPr>
      <w:r>
        <w:rPr>
          <w:rFonts w:cs="Arial" w:cstheme="minorHAnsi"/>
          <w:i/>
          <w:lang w:val="en-US"/>
        </w:rPr>
        <w:t xml:space="preserve">* Noto TJ Jr, Johnson LW, Krone R, et al. Cardiac catheterization 1990: a report of the Registry of the Society for Cardiac Angiography and Interventions (SCA&amp;I). </w:t>
      </w:r>
      <w:r>
        <w:rPr>
          <w:rFonts w:cs="Arial" w:cstheme="minorHAnsi"/>
          <w:i/>
        </w:rPr>
        <w:t>Cathet Cardiovasc Diagn 1991; 24:75 - 83.</w:t>
      </w:r>
    </w:p>
    <w:p>
      <w:pPr>
        <w:pStyle w:val="Normal"/>
        <w:spacing w:lineRule="auto" w:line="240"/>
        <w:ind w:right="-427"/>
        <w:rPr>
          <w:rFonts w:cs="Arial" w:cstheme="minorHAnsi"/>
        </w:rPr>
      </w:pPr>
      <w:r>
        <w:rPr>
          <w:rFonts w:cs="Arial" w:cstheme="minorHAnsi"/>
        </w:rPr>
      </w:r>
    </w:p>
    <w:p>
      <w:pPr>
        <w:pStyle w:val="Normal"/>
        <w:spacing w:lineRule="auto" w:line="240"/>
        <w:ind w:hanging="0" w:left="-567" w:right="-227"/>
        <w:jc w:val="both"/>
        <w:rPr>
          <w:rFonts w:eastAsia="Tahoma" w:cs="Arial" w:cstheme="minorHAnsi"/>
          <w:color w:val="000000"/>
        </w:rPr>
      </w:pPr>
      <w:r>
        <w:rPr>
          <w:rFonts w:eastAsia="Tahoma" w:cs="Arial" w:cstheme="minorHAnsi"/>
          <w:color w:val="000000"/>
        </w:rPr>
        <w:t>Salvo em casos especiais, mulheres grávidas ou com suspeita de gravidez não devem se expor a raios-x. Informe ao seu médico e à equipe responsável pela realização do exame se estiver grávida ou houver a possibilidade de gravidez. Eles a informarão se no seu caso os possíveis benefícios do exame superam os riscos.</w:t>
      </w:r>
    </w:p>
    <w:p>
      <w:pPr>
        <w:pStyle w:val="BodyText"/>
        <w:spacing w:lineRule="auto" w:line="240" w:before="120" w:after="0"/>
        <w:ind w:left="-567" w:right="-568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/>
          <w:color w:val="auto"/>
        </w:rPr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567" w:right="-28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Arial" w:hAnsi="Arial"/>
          <w:b/>
          <w:bCs/>
          <w:color w:val="000000"/>
        </w:rPr>
        <w:t>Estou ciente que além dos riscos e complicações descritas acima, em procedimentos médicos invasivos como o proposto, pode haver também risco de morte.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 xml:space="preserve">: </w:t>
      </w:r>
      <w:r>
        <w:rPr>
          <w:rFonts w:cs="Arial" w:cstheme="minorHAnsi"/>
        </w:rPr>
        <w:t>NÃO SE APLICA POR SE TRATAR DE EXAME DIAGNÓSTICO</w:t>
      </w:r>
    </w:p>
    <w:p>
      <w:pPr>
        <w:pStyle w:val="ListParagraph"/>
        <w:spacing w:lineRule="auto" w:line="240"/>
        <w:ind w:hanging="360" w:left="153" w:right="-568"/>
        <w:jc w:val="both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8. Os registros fotográficos da pele ou lesões, caso ocorram, são autorizados e ficarão limitados aos profissionais de saúde do Grupo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10.Autorizo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33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3"/>
      </w:tblGrid>
      <w:tr>
        <w:trPr>
          <w:trHeight w:val="1150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LibreOffice/24.2.0.3$Windows_X86_64 LibreOffice_project/da48488a73ddd66ea24cf16bbc4f7b9c08e9bea1</Application>
  <AppVersion>15.0000</AppVersion>
  <Pages>5</Pages>
  <Words>1397</Words>
  <Characters>9277</Characters>
  <CharactersWithSpaces>10604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2024-12-20T13:18:51Z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