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Cirurgia Endoscópica de Laringe</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567" w:right="-568"/>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cs="Calibri" w:cstheme="minorHAnsi"/>
          <w:b/>
          <w:bCs/>
        </w:rPr>
        <w:t>Cirurgia Endoscópica de Laringe</w:t>
      </w:r>
      <w:r>
        <w:rPr>
          <w:rFonts w:cs="Calibri" w:cstheme="minorHAnsi"/>
        </w:rPr>
        <w:t xml:space="preserve"> (o “</w:t>
      </w:r>
      <w:r>
        <w:rPr>
          <w:rFonts w:cs="Calibri" w:cstheme="minorHAnsi"/>
          <w:u w:val="single"/>
        </w:rPr>
        <w:t>Procedimento</w:t>
      </w:r>
      <w:r>
        <w:rPr>
          <w:rFonts w:cs="Calibri" w:cstheme="minorHAnsi"/>
        </w:rPr>
        <w:t xml:space="preserve">”), a ser realizado no </w:t>
      </w:r>
      <w:r>
        <w:rPr>
          <w:rFonts w:cs="Calibri" w:cstheme="minorHAnsi"/>
          <w:sz w:val="22"/>
          <w:szCs w:val="22"/>
        </w:rPr>
        <w:t xml:space="preserve">Hospital Orizonti, localizado na Avenida José de Patrocínio Pontes, n° 1355, Bairro Mangabeiras, CEP n° 30.210-090, na Cidade de Belo Horizonte, Estado de Minas Gerais. </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ind w:left="-567" w:right="-568"/>
        <w:jc w:val="both"/>
        <w:rPr>
          <w:rFonts w:cs="Calibri" w:cstheme="minorHAnsi"/>
        </w:rPr>
      </w:pPr>
      <w:r>
        <w:rPr>
          <w:rFonts w:cs="Calibri" w:cstheme="minorHAnsi"/>
          <w:b/>
          <w:bCs/>
        </w:rPr>
        <w:t>DIAGNÓSTICO</w:t>
      </w:r>
      <w:r>
        <w:rPr>
          <w:rFonts w:cs="Calibri" w:cstheme="minorHAnsi"/>
        </w:rPr>
        <w:t xml:space="preserve">: </w:t>
      </w:r>
    </w:p>
    <w:p>
      <w:pPr>
        <w:pStyle w:val="Normal"/>
        <w:spacing w:lineRule="auto" w:line="240"/>
        <w:ind w:left="-567" w:right="-568"/>
        <w:jc w:val="both"/>
        <w:rPr>
          <w:rFonts w:cs="Calibri" w:cstheme="minorHAnsi"/>
        </w:rPr>
      </w:pPr>
      <w:r>
        <w:rPr>
          <w:rFonts w:cs="Calibri" w:cstheme="minorHAnsi"/>
          <w:b/>
          <w:bCs/>
        </w:rPr>
        <w:t>DEFINIÇÃO DO PROCEDIMENTO</w:t>
      </w:r>
      <w:r>
        <w:rPr>
          <w:rFonts w:cs="Calibri" w:cstheme="minorHAnsi"/>
        </w:rPr>
        <w:t xml:space="preserve">: </w:t>
      </w:r>
    </w:p>
    <w:p>
      <w:pPr>
        <w:pStyle w:val="Normal"/>
        <w:spacing w:lineRule="auto" w:line="240"/>
        <w:ind w:left="-567" w:right="-568"/>
        <w:jc w:val="both"/>
        <w:rPr>
          <w:rFonts w:cs="Calibri" w:cstheme="minorHAnsi"/>
        </w:rPr>
      </w:pPr>
      <w:r>
        <w:rPr>
          <w:rFonts w:cs="Calibri" w:cstheme="minorHAnsi"/>
        </w:rPr>
        <w:t>Microcirurgia da Laringe é indicada para remoção de pólipos, nódulos, cistos, hemangiomas, papilomas, tumores malignos iniciais, biópsias e outras lesões de pregas vocais ou da laringe como um todo e para correção de sua função de respiração, fonação e/ou deglutição, podendo ser injetados ou aplicados medicamentos, tecidos ou materiais, orgânicos ou não, em áreas da laringe, visando melhor função.</w:t>
      </w:r>
    </w:p>
    <w:p>
      <w:pPr>
        <w:pStyle w:val="Normal"/>
        <w:spacing w:lineRule="auto" w:line="240"/>
        <w:ind w:left="-567" w:right="-568"/>
        <w:jc w:val="both"/>
        <w:rPr>
          <w:rFonts w:cs="Calibri" w:cstheme="minorHAnsi"/>
        </w:rPr>
      </w:pPr>
      <w:r>
        <w:rPr>
          <w:rFonts w:cs="Calibri" w:cstheme="minorHAnsi"/>
        </w:rPr>
        <w:t>O acesso cirúrgico exige o uso de um laringoscópio de suspensão, que se apoia sobre os dentes (geralmente incisivos mediais) e sobre o tórax, e adaptação de microscópio e instrumentos especiais, como pinças, tesouras, endoscópios e aparelhos de corte e coagulação, bisturis elétricos, eletrônicos e laser. A cirurgia pode ser suspensa mesmo após a anestesia por impossibilidade anatômica de expor as pregas vocais adequadamente.</w:t>
      </w:r>
    </w:p>
    <w:p>
      <w:pPr>
        <w:pStyle w:val="Normal"/>
        <w:spacing w:lineRule="auto" w:line="240"/>
        <w:ind w:left="-567" w:right="-568"/>
        <w:jc w:val="both"/>
        <w:rPr>
          <w:rFonts w:cs="Calibri" w:cstheme="minorHAnsi"/>
        </w:rPr>
      </w:pPr>
      <w:r>
        <w:rPr>
          <w:rFonts w:cs="Calibri" w:cstheme="minorHAnsi"/>
        </w:rPr>
        <w:t xml:space="preserve">Trata-se de uma cirurgia exploradora, ou seja, é impossível prever exatamente quais alterações serão encontradas nas pregas vocais. Portanto, muitas decisões podem e devem ser tomadas durante a cirurgia, sem que seja possível solicitar o consentimento específico para proceder aos tratamentos necessários, que podem gerar consequências e impedir que o resultado final seja o esperado e desejado. </w:t>
      </w:r>
    </w:p>
    <w:p>
      <w:pPr>
        <w:pStyle w:val="Normal"/>
        <w:spacing w:lineRule="auto" w:line="240"/>
        <w:ind w:left="-567" w:right="-568"/>
        <w:jc w:val="both"/>
        <w:rPr>
          <w:rFonts w:cs="Calibri" w:cstheme="minorHAnsi"/>
        </w:rPr>
      </w:pPr>
      <w:r>
        <w:rPr>
          <w:rFonts w:cs="Calibri" w:cstheme="minorHAnsi"/>
        </w:rPr>
      </w:r>
    </w:p>
    <w:p>
      <w:pPr>
        <w:pStyle w:val="Normal"/>
        <w:spacing w:lineRule="auto" w:line="240"/>
        <w:ind w:left="-567" w:right="-568"/>
        <w:jc w:val="both"/>
        <w:rPr>
          <w:rFonts w:cs="Calibri" w:cstheme="minorHAnsi"/>
        </w:rPr>
      </w:pPr>
      <w:r>
        <w:rPr>
          <w:rFonts w:cs="Calibri" w:cstheme="minorHAnsi"/>
          <w:b/>
          <w:bCs/>
        </w:rPr>
        <w:t>RISCOS, COMPLICAÇÕES</w:t>
      </w:r>
      <w:r>
        <w:rPr>
          <w:rFonts w:cs="Calibri" w:cstheme="minorHAnsi"/>
        </w:rPr>
        <w:t xml:space="preserve">: Após a cirurgia poderão ocorrer: </w:t>
      </w:r>
    </w:p>
    <w:p>
      <w:pPr>
        <w:pStyle w:val="Normal"/>
        <w:spacing w:lineRule="auto" w:line="240"/>
        <w:ind w:left="-567" w:right="-568"/>
        <w:jc w:val="both"/>
        <w:rPr>
          <w:rFonts w:cs="Calibri" w:cstheme="minorHAnsi"/>
        </w:rPr>
      </w:pPr>
      <w:r>
        <w:rPr>
          <w:rFonts w:cs="Calibri" w:cstheme="minorHAnsi"/>
        </w:rPr>
        <w:t xml:space="preserve">ALTERAÇÃO DE VOZ – A maioria destas cirurgias determina, após alguns dias, uma melhora da qualidade da voz. Nos casos de tumores benignos e malignos pode-se observar uma piora da voz, dependendo da extensão e localização da lesão. </w:t>
      </w:r>
    </w:p>
    <w:p>
      <w:pPr>
        <w:pStyle w:val="Normal"/>
        <w:spacing w:lineRule="auto" w:line="240"/>
        <w:ind w:left="-567" w:right="-568"/>
        <w:jc w:val="both"/>
        <w:rPr>
          <w:rFonts w:cs="Calibri" w:cstheme="minorHAnsi"/>
        </w:rPr>
      </w:pPr>
      <w:r>
        <w:rPr>
          <w:rFonts w:cs="Calibri" w:cstheme="minorHAnsi"/>
        </w:rPr>
        <w:t>INFECÇÃO – Raramente ocorrem e devem ser controlados com antibióticos, por vezes realizar drenagem é necessário. Podem ocorrer infecções à distância, por exemplo, respiratória, urinária ou digestiva.</w:t>
      </w:r>
    </w:p>
    <w:p>
      <w:pPr>
        <w:pStyle w:val="Normal"/>
        <w:spacing w:lineRule="auto" w:line="240"/>
        <w:ind w:left="-567" w:right="-568"/>
        <w:jc w:val="both"/>
        <w:rPr>
          <w:rFonts w:cs="Calibri" w:cstheme="minorHAnsi"/>
        </w:rPr>
      </w:pPr>
      <w:r>
        <w:rPr>
          <w:rFonts w:cs="Calibri" w:cstheme="minorHAnsi"/>
        </w:rPr>
        <w:t xml:space="preserve">VÔMITOS – Podem ocorrer algumas vezes, no dia da cirurgia, constituídos de sangue. </w:t>
      </w:r>
    </w:p>
    <w:p>
      <w:pPr>
        <w:pStyle w:val="Normal"/>
        <w:spacing w:lineRule="auto" w:line="240"/>
        <w:ind w:left="-567" w:right="-568"/>
        <w:jc w:val="both"/>
        <w:rPr>
          <w:rFonts w:cs="Calibri" w:cstheme="minorHAnsi"/>
        </w:rPr>
      </w:pPr>
      <w:r>
        <w:rPr>
          <w:rFonts w:cs="Calibri" w:cstheme="minorHAnsi"/>
        </w:rPr>
        <w:t xml:space="preserve">HEMORRAGIA – É rara, podendo ocorrer nas primeiras horas após a cirurgia, e nos casos de maior volume, indica-se reintervenção cirúrgica sob anestesia geral podendo ser necessária reposição de líquidos ou sangue e outros hemoderivados para seu controle. A morte por hemorragia é uma complicação extremamente rara. </w:t>
      </w:r>
    </w:p>
    <w:p>
      <w:pPr>
        <w:pStyle w:val="Normal"/>
        <w:spacing w:lineRule="auto" w:line="240"/>
        <w:ind w:left="-567" w:right="-568"/>
        <w:jc w:val="both"/>
        <w:rPr>
          <w:rFonts w:cs="Calibri" w:cstheme="minorHAnsi"/>
        </w:rPr>
      </w:pPr>
      <w:r>
        <w:rPr>
          <w:rFonts w:cs="Calibri" w:cstheme="minorHAnsi"/>
        </w:rPr>
        <w:t xml:space="preserve">DIFICULDADE RESPIRATÓRIA – Pode ocorrer no pós-operatório imediato, em decorrência do edema das pregas vocais ou da laringe como um todo. Em casos mais graves ou associados à hemorragia, pode exigir a realização de traqueostomia de emergência (abertura de um orifício na traqueia para colocação de uma cânula). </w:t>
      </w:r>
    </w:p>
    <w:p>
      <w:pPr>
        <w:pStyle w:val="Normal"/>
        <w:spacing w:lineRule="auto" w:line="240"/>
        <w:ind w:left="-567" w:right="-568"/>
        <w:jc w:val="both"/>
        <w:rPr>
          <w:rFonts w:cs="Calibri" w:cstheme="minorHAnsi"/>
        </w:rPr>
      </w:pPr>
      <w:r>
        <w:rPr>
          <w:rFonts w:cs="Calibri" w:cstheme="minorHAnsi"/>
        </w:rPr>
        <w:t>RECIDIVAS – São raras, mas podem ocorrer dependendo do tipo de lesão. Existem com maior frequência nos nódulos vocais, cistos principalmente abertos e na papilomatose da laringe. Em muitos casos a fonoterapia é indicada no período pré e pós-operatório. Especialmente na papilomatose, a recidiva é freqüente, necessitando-se de várias cirurgias.</w:t>
      </w:r>
    </w:p>
    <w:p>
      <w:pPr>
        <w:pStyle w:val="Normal"/>
        <w:spacing w:lineRule="auto" w:line="240"/>
        <w:ind w:left="-567" w:right="-568"/>
        <w:jc w:val="both"/>
        <w:rPr>
          <w:rFonts w:cs="Calibri" w:cstheme="minorHAnsi"/>
        </w:rPr>
      </w:pPr>
      <w:r>
        <w:rPr>
          <w:rFonts w:cs="Calibri" w:cstheme="minorHAnsi"/>
        </w:rPr>
        <w:t>DOR – Pode ocorrer por vezes na garganta e refletindo na área do ouvido e também na língua.</w:t>
      </w:r>
    </w:p>
    <w:p>
      <w:pPr>
        <w:pStyle w:val="Normal"/>
        <w:spacing w:lineRule="auto" w:line="240"/>
        <w:ind w:left="-567" w:right="-568"/>
        <w:jc w:val="both"/>
        <w:rPr>
          <w:rFonts w:cs="Calibri" w:cstheme="minorHAnsi"/>
        </w:rPr>
      </w:pPr>
      <w:r>
        <w:rPr>
          <w:rFonts w:cs="Calibri" w:cstheme="minorHAnsi"/>
        </w:rPr>
        <w:t xml:space="preserve">TRAUMATISMO DENTÁRIO – Pode ocorrer nos casos em que exista uma projeção ou fragilidade maior nos dentes, com próteses, pinos, fraturas anteriores, etc., podem ocorrer amolecimentos, fratura ou perda total de um ou mais dentes. </w:t>
      </w:r>
    </w:p>
    <w:p>
      <w:pPr>
        <w:pStyle w:val="Normal"/>
        <w:spacing w:lineRule="auto" w:line="240"/>
        <w:ind w:left="-567" w:right="-568"/>
        <w:jc w:val="both"/>
        <w:rPr>
          <w:rFonts w:cs="Calibri" w:cstheme="minorHAnsi"/>
        </w:rPr>
      </w:pPr>
      <w:r>
        <w:rPr>
          <w:rFonts w:cs="Calibri" w:cstheme="minorHAnsi"/>
        </w:rPr>
        <w:t>ALTERAÇÃO DE SENSIBILIDADE DA LÍNGUA – Pode ocorrer apesar de ser rara e normalmente temporária.</w:t>
      </w:r>
    </w:p>
    <w:p>
      <w:pPr>
        <w:pStyle w:val="Normal"/>
        <w:spacing w:lineRule="auto" w:line="240"/>
        <w:ind w:left="-567" w:right="-568"/>
        <w:jc w:val="both"/>
        <w:rPr>
          <w:rFonts w:cs="Calibri" w:cstheme="minorHAnsi"/>
        </w:rPr>
      </w:pPr>
      <w:r>
        <w:rPr>
          <w:rFonts w:cs="Calibri" w:cstheme="minorHAnsi"/>
        </w:rPr>
        <w:t>MORTE.</w:t>
      </w:r>
    </w:p>
    <w:p>
      <w:pPr>
        <w:pStyle w:val="Normal"/>
        <w:spacing w:lineRule="auto" w:line="240"/>
        <w:ind w:left="-567" w:right="-568"/>
        <w:jc w:val="both"/>
        <w:rPr>
          <w:rFonts w:cs="Calibri" w:cstheme="minorHAnsi"/>
        </w:rPr>
      </w:pPr>
      <w:r>
        <w:rPr>
          <w:rFonts w:cs="Calibri" w:cstheme="minorHAnsi"/>
        </w:rPr>
      </w:r>
    </w:p>
    <w:p>
      <w:pPr>
        <w:pStyle w:val="Normal"/>
        <w:shd w:val="clear" w:color="auto" w:fill="FFFFFF" w:themeFill="background1"/>
        <w:spacing w:lineRule="auto" w:line="240"/>
        <w:ind w:left="-567" w:right="-568"/>
        <w:jc w:val="both"/>
        <w:rPr>
          <w:rFonts w:cs="Calibri" w:cstheme="minorHAnsi"/>
        </w:rPr>
      </w:pPr>
      <w:r>
        <w:rPr>
          <w:rFonts w:cs="Calibri" w:cstheme="minorHAnsi"/>
          <w:b/>
          <w:bCs/>
        </w:rPr>
        <w:t>TRATAMENTOS ALTERNATIVOS</w:t>
      </w:r>
      <w:r>
        <w:rPr>
          <w:rFonts w:cs="Calibri" w:cstheme="minorHAnsi"/>
        </w:rPr>
        <w:t xml:space="preserve">: </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spacing w:lineRule="auto" w:line="240" w:before="0" w:after="0"/>
        <w:ind w:left="-567" w:right="-568"/>
        <w:contextualSpacing/>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8. Os registros fotográficos da pele ou lesões, caso ocorram, são autorizados e ficarão limitados aos profissionais de saúde do Instituto Orizonti.</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9. Autorizo que qualquer tecido seja removido cirurgicamente e que seja encaminhado para exames complementares, desde que necessário para o esclarecimento diagnóstico ou tratamento.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 xml:space="preserve">10. Autorizo a divulgação das informações médicas contidas em meu prontuário, exclusivamente para finalidade científica da Instituição, desde que minha identidade permaneça anônima.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11.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rFonts w:cs="Calibri" w:cstheme="minorHAnsi"/>
          <w:b/>
          <w:bCs/>
          <w:color w:val="auto"/>
          <w:sz w:val="22"/>
          <w:szCs w:val="22"/>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LibreOffice/24.2.0.3$Windows_X86_64 LibreOffice_project/da48488a73ddd66ea24cf16bbc4f7b9c08e9bea1</Application>
  <AppVersion>15.0000</AppVersion>
  <Pages>5</Pages>
  <Words>1543</Words>
  <Characters>10117</Characters>
  <CharactersWithSpaces>11622</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2024-11-26T15:26:56Z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