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 xml:space="preserve">Procedimento: </w:t>
            </w:r>
            <w:r>
              <w:rPr>
                <w:rFonts w:eastAsia="Calibri" w:cs="Calibri" w:cstheme="minorHAnsi"/>
                <w:b/>
                <w:bCs/>
                <w:kern w:val="0"/>
                <w:sz w:val="22"/>
                <w:szCs w:val="22"/>
                <w:lang w:val="pt-BR" w:eastAsia="en-US" w:bidi="ar-SA"/>
              </w:rPr>
              <w:t xml:space="preserve"> ARTROPLASTIA TOTAL DO QUADRIL POR NAVEGAÇÃO</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4"/>
        <w:gridCol w:w="7655"/>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5"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4"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5"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rPr>
        <w:t>ARTROPLASTIA TOTAL DO QUADRIL POR NAVEGAÇÃO</w:t>
      </w:r>
      <w:r>
        <w:rPr>
          <w:rFonts w:eastAsia="Calibri" w:cs="Calibri" w:cstheme="minorHAnsi"/>
          <w:b/>
          <w:bCs/>
          <w:kern w:val="0"/>
          <w:sz w:val="22"/>
          <w:szCs w:val="22"/>
          <w:lang w:val="pt-BR" w:eastAsia="en-US" w:bidi="ar-SA"/>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57"/>
        <w:jc w:val="both"/>
        <w:rPr>
          <w:rFonts w:cs="Calibri" w:cstheme="minorHAnsi"/>
        </w:rPr>
      </w:pPr>
      <w:r>
        <w:rPr/>
      </w:r>
    </w:p>
    <w:p>
      <w:pPr>
        <w:pStyle w:val="Normal"/>
        <w:widowControl/>
        <w:suppressAutoHyphens w:val="true"/>
        <w:bidi w:val="0"/>
        <w:spacing w:lineRule="auto" w:line="240" w:before="0" w:after="0"/>
        <w:ind w:hanging="0" w:left="-567" w:right="-113"/>
        <w:jc w:val="both"/>
        <w:rPr>
          <w:rFonts w:ascii="Calibri" w:hAnsi="Calibri"/>
        </w:rPr>
      </w:pPr>
      <w:r>
        <w:rPr>
          <w:rFonts w:cs="Calibri" w:cstheme="minorHAnsi"/>
          <w:sz w:val="22"/>
          <w:szCs w:val="22"/>
        </w:rPr>
        <w:t>Assim sendo, declaro que o Médico, atendendo ao que determinam os artigos 22 e 34 da Resolução CFM no. 1.931/09 (“</w:t>
      </w:r>
      <w:r>
        <w:rPr>
          <w:rFonts w:cs="Calibri" w:cstheme="minorHAnsi"/>
          <w:sz w:val="22"/>
          <w:szCs w:val="22"/>
          <w:u w:val="single"/>
        </w:rPr>
        <w:t>Código de Ética Médica</w:t>
      </w:r>
      <w:r>
        <w:rPr>
          <w:rFonts w:cs="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113"/>
        <w:jc w:val="both"/>
        <w:rPr>
          <w:rFonts w:ascii="Calibri" w:hAnsi="Calibri"/>
        </w:rPr>
      </w:pPr>
      <w:r>
        <w:rPr/>
      </w:r>
    </w:p>
    <w:p>
      <w:pPr>
        <w:pStyle w:val="Normal"/>
        <w:spacing w:lineRule="auto" w:line="240"/>
        <w:ind w:left="-567" w:right="-568"/>
        <w:jc w:val="both"/>
        <w:rPr>
          <w:rFonts w:cs="Calibri" w:cstheme="minorHAnsi"/>
        </w:rPr>
      </w:pPr>
      <w:r>
        <w:rPr>
          <w:rFonts w:cs="Calibri" w:cstheme="minorHAnsi"/>
          <w:b/>
          <w:bCs/>
        </w:rPr>
        <w:t>DIAGNÓSTICO</w:t>
      </w:r>
      <w:r>
        <w:rPr>
          <w:rFonts w:cs="Calibri" w:cstheme="minorHAnsi"/>
        </w:rPr>
        <w:t xml:space="preserve">: COXARTROSE                                   </w:t>
      </w:r>
      <w:r>
        <w:rPr>
          <w:rFonts w:cs="Calibri" w:cstheme="minorHAnsi"/>
          <w:b/>
          <w:bCs/>
        </w:rPr>
        <w:t>LATERALIDADE</w:t>
      </w:r>
      <w:r>
        <w:rPr>
          <w:rFonts w:cs="Calibri" w:cstheme="minorHAnsi"/>
        </w:rPr>
        <w:t xml:space="preserve">: </w:t>
      </w:r>
    </w:p>
    <w:p>
      <w:pPr>
        <w:pStyle w:val="Normal"/>
        <w:widowControl/>
        <w:suppressAutoHyphens w:val="true"/>
        <w:bidi w:val="0"/>
        <w:spacing w:lineRule="auto" w:line="240" w:before="0" w:after="200"/>
        <w:ind w:hanging="0" w:left="-567" w:right="-170"/>
        <w:jc w:val="both"/>
        <w:rPr>
          <w:rFonts w:cs="Calibri" w:cstheme="minorHAnsi"/>
        </w:rPr>
      </w:pPr>
      <w:r>
        <w:rPr>
          <w:rFonts w:cs="Calibri" w:cstheme="minorHAnsi"/>
          <w:b/>
          <w:bCs/>
        </w:rPr>
        <w:t>DEFINIÇÃO DO PROCEDIMENTO</w:t>
      </w:r>
      <w:r>
        <w:rPr>
          <w:rFonts w:cs="Calibri" w:cstheme="minorHAnsi"/>
        </w:rPr>
        <w:t>: A Artroplastia de Quadril é a substituição total ou parcial da articulação do quadril, feita por meio de materiais artificiais (metal, cerâmico ou plástico). Tem a finalidade de reduzir a dor e rigidez além de melhorar a capacidade de realizar atividades de vida diária.</w:t>
      </w:r>
    </w:p>
    <w:p>
      <w:pPr>
        <w:pStyle w:val="Normal"/>
        <w:spacing w:lineRule="auto" w:line="240"/>
        <w:ind w:left="-567" w:right="-568"/>
        <w:jc w:val="both"/>
        <w:rPr>
          <w:rFonts w:cs="Calibri" w:cstheme="minorHAnsi"/>
        </w:rPr>
      </w:pPr>
      <w:r>
        <w:rPr>
          <w:rFonts w:cs="Calibri" w:cstheme="minorHAnsi"/>
          <w:b/>
          <w:bCs/>
        </w:rPr>
        <w:t>RISCOS, COMPLICAÇÕES</w:t>
      </w:r>
      <w:r>
        <w:rPr>
          <w:rFonts w:cs="Calibri" w:cstheme="minorHAnsi"/>
        </w:rPr>
        <w:t>: Estou ciente de que o procedimento tem os seguintes riscos potenciais:</w:t>
      </w:r>
    </w:p>
    <w:p>
      <w:pPr>
        <w:pStyle w:val="Normal"/>
        <w:spacing w:lineRule="auto" w:line="240"/>
        <w:ind w:left="-567" w:right="-568"/>
        <w:jc w:val="both"/>
        <w:rPr>
          <w:rFonts w:cs="Calibri" w:cstheme="minorHAnsi"/>
        </w:rPr>
      </w:pPr>
      <w:r>
        <w:rPr>
          <w:rFonts w:cs="Calibri" w:cstheme="minorHAnsi"/>
        </w:rPr>
        <w:t xml:space="preserve">● </w:t>
      </w:r>
      <w:r>
        <w:rPr>
          <w:rFonts w:cs="Calibri" w:cstheme="minorHAnsi"/>
        </w:rPr>
        <w:t>Alergia: Reações alérgicas às medicações utilizadas;</w:t>
      </w:r>
    </w:p>
    <w:p>
      <w:pPr>
        <w:pStyle w:val="Normal"/>
        <w:spacing w:lineRule="auto" w:line="240"/>
        <w:ind w:left="-567" w:right="-568"/>
        <w:jc w:val="both"/>
        <w:rPr>
          <w:rFonts w:cs="Calibri" w:cstheme="minorHAnsi"/>
        </w:rPr>
      </w:pPr>
      <w:r>
        <w:rPr>
          <w:rFonts w:cs="Calibri" w:cstheme="minorHAnsi"/>
        </w:rPr>
        <w:t xml:space="preserve">● </w:t>
      </w:r>
      <w:r>
        <w:rPr>
          <w:rFonts w:cs="Calibri" w:cstheme="minorHAnsi"/>
        </w:rPr>
        <w:t>Exacerbação de doenças clínicas pré-existentes;</w:t>
      </w:r>
    </w:p>
    <w:p>
      <w:pPr>
        <w:pStyle w:val="Normal"/>
        <w:spacing w:lineRule="auto" w:line="240"/>
        <w:ind w:left="-567" w:right="-568"/>
        <w:jc w:val="both"/>
        <w:rPr>
          <w:rFonts w:cs="Calibri" w:cstheme="minorHAnsi"/>
        </w:rPr>
      </w:pPr>
      <w:r>
        <w:rPr>
          <w:rFonts w:cs="Calibri" w:cstheme="minorHAnsi"/>
        </w:rPr>
        <w:t xml:space="preserve">● </w:t>
      </w:r>
      <w:r>
        <w:rPr>
          <w:rFonts w:cs="Calibri" w:cstheme="minorHAnsi"/>
        </w:rPr>
        <w:t>Lesões de pele por atrito na movimentação do paciente;</w:t>
      </w:r>
    </w:p>
    <w:p>
      <w:pPr>
        <w:pStyle w:val="Normal"/>
        <w:spacing w:lineRule="auto" w:line="240"/>
        <w:ind w:left="-567" w:right="-568"/>
        <w:jc w:val="both"/>
        <w:rPr>
          <w:rFonts w:cs="Calibri" w:cstheme="minorHAnsi"/>
        </w:rPr>
      </w:pPr>
      <w:r>
        <w:rPr>
          <w:rFonts w:cs="Calibri" w:cstheme="minorHAnsi"/>
        </w:rPr>
        <w:t xml:space="preserve">● </w:t>
      </w:r>
      <w:r>
        <w:rPr>
          <w:rFonts w:cs="Calibri" w:cstheme="minorHAnsi"/>
        </w:rPr>
        <w:t>Dor no período pós-operatório;</w:t>
      </w:r>
    </w:p>
    <w:p>
      <w:pPr>
        <w:pStyle w:val="Normal"/>
        <w:spacing w:lineRule="auto" w:line="240"/>
        <w:ind w:left="-567" w:right="-568"/>
        <w:jc w:val="both"/>
        <w:rPr>
          <w:rFonts w:cs="Calibri" w:cstheme="minorHAnsi"/>
        </w:rPr>
      </w:pPr>
      <w:r>
        <w:rPr>
          <w:rFonts w:cs="Calibri" w:cstheme="minorHAnsi"/>
        </w:rPr>
        <w:t xml:space="preserve">● </w:t>
      </w:r>
      <w:r>
        <w:rPr>
          <w:rFonts w:cs="Calibri" w:cstheme="minorHAnsi"/>
        </w:rPr>
        <w:t>Flebite: inflamação da veia, geralmente no local da medicação;</w:t>
      </w:r>
    </w:p>
    <w:p>
      <w:pPr>
        <w:pStyle w:val="Normal"/>
        <w:spacing w:lineRule="auto" w:line="240"/>
        <w:ind w:left="-567" w:right="-568"/>
        <w:jc w:val="both"/>
        <w:rPr>
          <w:rFonts w:cs="Calibri" w:cstheme="minorHAnsi"/>
        </w:rPr>
      </w:pPr>
      <w:r>
        <w:rPr>
          <w:rFonts w:cs="Calibri" w:cstheme="minorHAnsi"/>
        </w:rPr>
        <w:t xml:space="preserve">● </w:t>
      </w:r>
      <w:r>
        <w:rPr>
          <w:rFonts w:cs="Calibri" w:cstheme="minorHAnsi"/>
        </w:rPr>
        <w:t>Lesões vasculares e sangramento;</w:t>
      </w:r>
    </w:p>
    <w:p>
      <w:pPr>
        <w:pStyle w:val="Normal"/>
        <w:spacing w:lineRule="auto" w:line="240"/>
        <w:ind w:left="-567" w:right="-568"/>
        <w:jc w:val="both"/>
        <w:rPr>
          <w:rFonts w:cs="Calibri" w:cstheme="minorHAnsi"/>
        </w:rPr>
      </w:pPr>
      <w:r>
        <w:rPr>
          <w:rFonts w:cs="Calibri" w:cstheme="minorHAnsi"/>
        </w:rPr>
        <w:t xml:space="preserve">● </w:t>
      </w:r>
      <w:r>
        <w:rPr>
          <w:rFonts w:cs="Calibri" w:cstheme="minorHAnsi"/>
        </w:rPr>
        <w:t>Lesões de nervos maiores;</w:t>
      </w:r>
    </w:p>
    <w:p>
      <w:pPr>
        <w:pStyle w:val="Normal"/>
        <w:spacing w:lineRule="auto" w:line="240"/>
        <w:ind w:left="-567" w:right="-568"/>
        <w:jc w:val="both"/>
        <w:rPr>
          <w:rFonts w:cs="Calibri" w:cstheme="minorHAnsi"/>
        </w:rPr>
      </w:pPr>
      <w:r>
        <w:rPr>
          <w:rFonts w:cs="Calibri" w:cstheme="minorHAnsi"/>
        </w:rPr>
        <w:t xml:space="preserve">● </w:t>
      </w:r>
      <w:r>
        <w:rPr>
          <w:rFonts w:cs="Calibri" w:cstheme="minorHAnsi"/>
        </w:rPr>
        <w:t xml:space="preserve">Encurtamento do membro inferior e desvios angulares do joelho; </w:t>
      </w:r>
    </w:p>
    <w:p>
      <w:pPr>
        <w:pStyle w:val="Normal"/>
        <w:spacing w:lineRule="auto" w:line="240"/>
        <w:ind w:left="-567" w:right="-568"/>
        <w:jc w:val="both"/>
        <w:rPr>
          <w:rFonts w:cs="Calibri" w:cstheme="minorHAnsi"/>
        </w:rPr>
      </w:pPr>
      <w:r>
        <w:rPr>
          <w:rFonts w:cs="Calibri" w:cstheme="minorHAnsi"/>
        </w:rPr>
        <w:t xml:space="preserve">● </w:t>
      </w:r>
      <w:r>
        <w:rPr>
          <w:rFonts w:cs="Calibri" w:cstheme="minorHAnsi"/>
        </w:rPr>
        <w:t>Falha dos Implantes;</w:t>
      </w:r>
    </w:p>
    <w:p>
      <w:pPr>
        <w:pStyle w:val="Normal"/>
        <w:spacing w:lineRule="auto" w:line="240"/>
        <w:ind w:left="-567" w:right="-568"/>
        <w:jc w:val="both"/>
        <w:rPr>
          <w:rFonts w:cs="Calibri" w:cstheme="minorHAnsi"/>
        </w:rPr>
      </w:pPr>
      <w:r>
        <w:rPr>
          <w:rFonts w:cs="Calibri" w:cstheme="minorHAnsi"/>
        </w:rPr>
        <w:t xml:space="preserve"> ● </w:t>
      </w:r>
      <w:r>
        <w:rPr>
          <w:rFonts w:cs="Calibri" w:cstheme="minorHAnsi"/>
        </w:rPr>
        <w:t>Luxação dos implantes (Dados mundiais para artroplastias do quadril – variam entre 1 a 3%);</w:t>
      </w:r>
    </w:p>
    <w:p>
      <w:pPr>
        <w:pStyle w:val="Normal"/>
        <w:spacing w:lineRule="auto" w:line="240"/>
        <w:ind w:left="-567" w:right="-568"/>
        <w:jc w:val="both"/>
        <w:rPr>
          <w:rFonts w:cs="Calibri" w:cstheme="minorHAnsi"/>
        </w:rPr>
      </w:pPr>
      <w:r>
        <w:rPr>
          <w:rFonts w:cs="Calibri" w:cstheme="minorHAnsi"/>
        </w:rPr>
        <w:t xml:space="preserve"> ● </w:t>
      </w:r>
      <w:r>
        <w:rPr>
          <w:rFonts w:cs="Calibri" w:cstheme="minorHAnsi"/>
        </w:rPr>
        <w:t>Fraturas intraoperatórias (Dados mundiais – 0,41%);</w:t>
      </w:r>
    </w:p>
    <w:p>
      <w:pPr>
        <w:pStyle w:val="Normal"/>
        <w:spacing w:lineRule="auto" w:line="240"/>
        <w:ind w:left="-567" w:right="-568"/>
        <w:jc w:val="both"/>
        <w:rPr>
          <w:rFonts w:cs="Calibri" w:cstheme="minorHAnsi"/>
        </w:rPr>
      </w:pPr>
      <w:r>
        <w:rPr>
          <w:rFonts w:cs="Calibri" w:cstheme="minorHAnsi"/>
        </w:rPr>
        <w:t xml:space="preserve">● </w:t>
      </w:r>
      <w:r>
        <w:rPr>
          <w:rFonts w:cs="Calibri" w:cstheme="minorHAnsi"/>
        </w:rPr>
        <w:t xml:space="preserve">Tromboembolismo Venoso Periférico e Pulmonar: causada pela coagulação do sangue </w:t>
      </w:r>
    </w:p>
    <w:p>
      <w:pPr>
        <w:pStyle w:val="Normal"/>
        <w:spacing w:lineRule="auto" w:line="240"/>
        <w:ind w:left="-567" w:right="-568"/>
        <w:jc w:val="both"/>
        <w:rPr>
          <w:rFonts w:cs="Calibri" w:cstheme="minorHAnsi"/>
        </w:rPr>
      </w:pPr>
      <w:r>
        <w:rPr>
          <w:rFonts w:cs="Calibri" w:cstheme="minorHAnsi"/>
        </w:rPr>
        <w:t>no interior das veias, (Dados mundiais – 0,41%);</w:t>
      </w:r>
    </w:p>
    <w:p>
      <w:pPr>
        <w:pStyle w:val="Normal"/>
        <w:spacing w:lineRule="auto" w:line="240"/>
        <w:ind w:left="-567" w:right="-568"/>
        <w:jc w:val="both"/>
        <w:rPr>
          <w:rFonts w:cs="Calibri" w:cstheme="minorHAnsi"/>
        </w:rPr>
      </w:pPr>
      <w:r>
        <w:rPr>
          <w:rFonts w:cs="Calibri" w:cstheme="minorHAnsi"/>
        </w:rPr>
        <w:t xml:space="preserve">● </w:t>
      </w:r>
      <w:r>
        <w:rPr>
          <w:rFonts w:cs="Calibri" w:cstheme="minorHAnsi"/>
        </w:rPr>
        <w:t>Infecção (Dados mundiais – 0,57%)</w:t>
      </w:r>
    </w:p>
    <w:p>
      <w:pPr>
        <w:pStyle w:val="Normal"/>
        <w:widowControl/>
        <w:suppressAutoHyphens w:val="true"/>
        <w:bidi w:val="0"/>
        <w:spacing w:lineRule="auto" w:line="240" w:before="0" w:after="200"/>
        <w:ind w:hanging="0" w:left="-567" w:right="-170"/>
        <w:jc w:val="both"/>
        <w:rPr>
          <w:rFonts w:cs="Calibri" w:cstheme="minorHAnsi"/>
        </w:rPr>
      </w:pPr>
      <w:r>
        <w:rPr>
          <w:rFonts w:cs="Calibri" w:cstheme="minorHAnsi"/>
        </w:rPr>
        <w:t>Complicações graves são muito raras, mas podem levar a hospitalização prolongada, necessidade de repetição da cirurgia ou muito raramente levar a óbito. Mundialmente as taxas de complicações raras ficam em torno de 0,7% para Artroplastia de Quadril, no entanto, possuímos uma estrutura hospitalar preparada para atendê-lo em caso de qualquer necessidade. Fraturas intraoperatórias do acetábulo são complicações de ocorrência rara durante a Artroplastia Total do Quadril com uma prevalência de 0,4%.</w:t>
      </w:r>
    </w:p>
    <w:p>
      <w:pPr>
        <w:pStyle w:val="Normal"/>
        <w:spacing w:lineRule="auto" w:line="240"/>
        <w:ind w:left="-567" w:right="-568"/>
        <w:jc w:val="both"/>
        <w:rPr>
          <w:rFonts w:cs="Calibri" w:cstheme="minorHAnsi"/>
        </w:rPr>
      </w:pPr>
      <w:r>
        <w:rPr>
          <w:rFonts w:cs="Calibri" w:cstheme="minorHAnsi"/>
          <w:b/>
          <w:bCs/>
        </w:rPr>
        <w:t>TRATAMENTOS ALTERNATIVOS</w:t>
      </w:r>
      <w:r>
        <w:rPr>
          <w:rFonts w:cs="Calibri" w:cstheme="minorHAnsi"/>
        </w:rPr>
        <w:t>: Infiltração, fisioterapia e analgésicos.</w:t>
      </w:r>
    </w:p>
    <w:p>
      <w:pPr>
        <w:pStyle w:val="Normal"/>
        <w:spacing w:lineRule="auto" w:line="240"/>
        <w:ind w:left="-567" w:right="-568"/>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rPr>
        <w:t>Declaro que:</w:t>
      </w:r>
    </w:p>
    <w:p>
      <w:pPr>
        <w:pStyle w:val="ListParagraph"/>
        <w:widowControl/>
        <w:numPr>
          <w:ilvl w:val="0"/>
          <w:numId w:val="1"/>
        </w:numPr>
        <w:suppressAutoHyphens w:val="true"/>
        <w:bidi w:val="0"/>
        <w:spacing w:lineRule="auto" w:line="240" w:before="0" w:after="200"/>
        <w:ind w:hanging="397" w:left="170" w:right="-170"/>
        <w:contextualSpacing/>
        <w:jc w:val="both"/>
        <w:rPr/>
      </w:pPr>
      <w:r>
        <w:rPr>
          <w:rFonts w:cs="Calibri" w:cstheme="minorHAnsi"/>
          <w:b/>
          <w:bCs/>
        </w:rPr>
        <w:t xml:space="preserve">Estou ciente e compreendo que a técnica e a utilização dos insumos abaixo referenciados não são cobertos pela minha apólice de seguro-saúde ou por convênio de assistência saúde suplementar, conforme rol definido pelos órgãos regulatórios, havendo sua utilização ter sido de minha escolha após esclarecimento médico de todas alternativas existentes. Declaro, que renuncio ao direito de solicitar, sob qualquer forma, em face da seguradora ou operadora de plano de saúde, reembolso financeiro, uma vez que exerci uma opção individual pelo uso da técnica/insumo acima referenciado, após meu médico esclarecer todas as alternativas pertinentes para meu tratamento. </w:t>
      </w:r>
    </w:p>
    <w:p>
      <w:pPr>
        <w:pStyle w:val="ListParagraph"/>
        <w:numPr>
          <w:ilvl w:val="0"/>
          <w:numId w:val="0"/>
        </w:numPr>
        <w:spacing w:lineRule="auto" w:line="240"/>
        <w:ind w:hanging="0" w:left="153" w:right="-568"/>
        <w:jc w:val="both"/>
        <w:rPr>
          <w:rFonts w:cs="Calibri" w:cstheme="minorHAnsi"/>
          <w:b/>
          <w:bCs/>
        </w:rPr>
      </w:pPr>
      <w:r>
        <w:rPr>
          <w:rFonts w:cs="Calibri" w:cstheme="minorHAnsi"/>
          <w:b/>
          <w:bCs/>
        </w:rPr>
      </w:r>
    </w:p>
    <w:p>
      <w:pPr>
        <w:pStyle w:val="ListParagraph"/>
        <w:widowControl/>
        <w:numPr>
          <w:ilvl w:val="0"/>
          <w:numId w:val="1"/>
        </w:numPr>
        <w:suppressAutoHyphens w:val="true"/>
        <w:bidi w:val="0"/>
        <w:spacing w:lineRule="auto" w:line="240" w:before="0" w:after="200"/>
        <w:ind w:hanging="397" w:left="170" w:right="-227"/>
        <w:contextualSpacing/>
        <w:jc w:val="both"/>
        <w:rPr/>
      </w:pPr>
      <w:r>
        <w:rPr>
          <w:rFonts w:eastAsia="" w:eastAsiaTheme="minorEastAsia"/>
        </w:rPr>
        <w:t>Assim, tendo conhecimento, autorizo a realização do procedimento proposto, para todos os fins legais, ciente dos ônus financeiros daí decorrentes, os quais, desde a realização do procedimento, confesso dever e prometo pagar.</w:t>
      </w:r>
    </w:p>
    <w:p>
      <w:pPr>
        <w:pStyle w:val="ListParagraph"/>
        <w:numPr>
          <w:ilvl w:val="0"/>
          <w:numId w:val="0"/>
        </w:numPr>
        <w:spacing w:lineRule="auto" w:line="240"/>
        <w:ind w:hanging="0" w:left="153" w:right="-568"/>
        <w:jc w:val="both"/>
        <w:rPr>
          <w:rFonts w:eastAsia="" w:eastAsiaTheme="minorEastAsia"/>
        </w:rPr>
      </w:pPr>
      <w:r>
        <w:rPr>
          <w:rFonts w:eastAsia="" w:eastAsiaTheme="minorEastAsia"/>
        </w:rPr>
      </w:r>
    </w:p>
    <w:p>
      <w:pPr>
        <w:pStyle w:val="ListParagraph"/>
        <w:numPr>
          <w:ilvl w:val="0"/>
          <w:numId w:val="1"/>
        </w:numPr>
        <w:spacing w:lineRule="auto" w:line="240"/>
        <w:ind w:hanging="360" w:left="153" w:right="-568"/>
        <w:jc w:val="both"/>
        <w:rPr>
          <w:rFonts w:eastAsia="" w:eastAsiaTheme="minorEastAsia"/>
        </w:rPr>
      </w:pPr>
      <w:r>
        <w:rPr>
          <w:rFonts w:eastAsia="" w:eastAsiaTheme="minorEastAsia"/>
        </w:rPr>
        <w:t xml:space="preserve">Serão empregados os seguintes insumos: </w:t>
      </w:r>
    </w:p>
    <w:p>
      <w:pPr>
        <w:pStyle w:val="Normal"/>
        <w:spacing w:lineRule="auto" w:line="240" w:before="0" w:after="0"/>
        <w:ind w:left="-567" w:right="-568"/>
        <w:jc w:val="both"/>
        <w:rPr>
          <w:rFonts w:cs="Calibri" w:cstheme="minorHAnsi"/>
        </w:rPr>
      </w:pPr>
      <w:r>
        <w:rPr>
          <w:rFonts w:cs="Calibri" w:cstheme="minorHAnsi"/>
        </w:rPr>
      </w:r>
    </w:p>
    <w:p>
      <w:pPr>
        <w:pStyle w:val="Normal"/>
        <w:widowControl/>
        <w:suppressAutoHyphens w:val="true"/>
        <w:bidi w:val="0"/>
        <w:spacing w:lineRule="auto" w:line="240" w:before="0" w:after="0"/>
        <w:ind w:hanging="397" w:left="170" w:right="-567"/>
        <w:jc w:val="both"/>
        <w:rPr/>
      </w:pPr>
      <w:sdt>
        <w:sdtPr>
          <w:id w:val="-1953850518"/>
          <w14:checkbox>
            <w14:checked w14:val="0"/>
            <w14:checkedState w14:val="2612"/>
            <w14:uncheckedState w14:val="2610"/>
          </w14:checkbox>
        </w:sdtPr>
        <w:sdtContent>
          <w:r>
            <w:rPr>
              <w:rFonts w:eastAsia="MS Gothic" w:cs="Calibri" w:ascii="MS Gothic" w:hAnsi="MS Gothic" w:cstheme="minorHAnsi"/>
            </w:rPr>
          </w:r>
          <w:r>
            <w:rPr>
              <w:rFonts w:eastAsia="MS Gothic" w:cs="Calibri" w:ascii="MS Gothic" w:hAnsi="MS Gothic" w:cstheme="minorHAnsi"/>
            </w:rPr>
            <w:t>☐</w:t>
          </w:r>
        </w:sdtContent>
      </w:sdt>
      <w:r>
        <w:rPr>
          <w:rFonts w:cs="Calibri" w:cstheme="minorHAnsi"/>
        </w:rPr>
        <w:t xml:space="preserve"> </w:t>
      </w:r>
      <w:r>
        <w:rPr>
          <w:rFonts w:eastAsia="" w:cs="Calibri" w:eastAsiaTheme="minorEastAsia"/>
        </w:rPr>
        <w:t>Orthopilot</w:t>
      </w:r>
    </w:p>
    <w:p>
      <w:pPr>
        <w:pStyle w:val="Normal"/>
        <w:widowControl/>
        <w:suppressAutoHyphens w:val="true"/>
        <w:bidi w:val="0"/>
        <w:spacing w:lineRule="auto" w:line="240" w:before="0" w:after="0"/>
        <w:ind w:hanging="397" w:left="170" w:right="-567"/>
        <w:jc w:val="both"/>
        <w:rPr>
          <w:rFonts w:eastAsia="" w:eastAsiaTheme="minorEastAsia"/>
        </w:rPr>
      </w:pPr>
      <w:r>
        <w:rPr>
          <w:rFonts w:eastAsia="" w:eastAsiaTheme="minorEastAsia"/>
        </w:rPr>
      </w:r>
    </w:p>
    <w:p>
      <w:pPr>
        <w:pStyle w:val="Normal"/>
        <w:widowControl/>
        <w:suppressAutoHyphens w:val="true"/>
        <w:bidi w:val="0"/>
        <w:spacing w:lineRule="auto" w:line="240" w:before="0" w:after="0"/>
        <w:ind w:hanging="397" w:left="170" w:right="-567"/>
        <w:jc w:val="both"/>
        <w:rPr/>
      </w:pPr>
      <w:sdt>
        <w:sdtPr>
          <w:id w:val="-306702497"/>
          <w14:checkbox>
            <w14:checked w14:val="0"/>
            <w14:checkedState w14:val="2612"/>
            <w14:uncheckedState w14:val="2610"/>
          </w14:checkbox>
        </w:sdtPr>
        <w:sdtContent>
          <w:r>
            <w:rPr>
              <w:rFonts w:eastAsia="MS Gothic" w:cs="" w:ascii="MS Gothic" w:hAnsi="MS Gothic" w:cstheme="minorBidi"/>
            </w:rPr>
          </w:r>
          <w:r>
            <w:rPr>
              <w:rFonts w:eastAsia="MS Gothic" w:cs="" w:ascii="MS Gothic" w:hAnsi="MS Gothic" w:cstheme="minorBidi"/>
            </w:rPr>
            <w:t>☐</w:t>
          </w:r>
        </w:sdtContent>
      </w:sdt>
      <w:r>
        <w:rPr>
          <w:rFonts w:eastAsia="" w:cs="" w:cstheme="minorBidi" w:eastAsiaTheme="minorEastAsia"/>
        </w:rPr>
        <w:t xml:space="preserve"> </w:t>
      </w:r>
      <w:r>
        <w:rPr>
          <w:rFonts w:eastAsia="" w:cs="" w:eastAsiaTheme="minorEastAsia"/>
        </w:rPr>
        <w:t>Navegador Vertical J&amp;J</w:t>
      </w:r>
    </w:p>
    <w:p>
      <w:pPr>
        <w:pStyle w:val="Normal"/>
        <w:spacing w:lineRule="auto" w:line="24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
    </w:p>
    <w:p>
      <w:pPr>
        <w:pStyle w:val="Normal"/>
        <w:spacing w:lineRule="auto" w:line="240" w:before="0" w:after="0"/>
        <w:ind w:left="-567" w:right="-568"/>
        <w:jc w:val="both"/>
        <w:rPr>
          <w:rFonts w:eastAsia="Arial Unicode MS" w:cs="Calibri" w:cstheme="minorHAnsi"/>
          <w:lang w:val="pt-PT"/>
        </w:rPr>
      </w:pPr>
      <w:r>
        <w:rPr>
          <w:rFonts w:eastAsia="Arial Unicode MS" w:cs="Calibri" w:cstheme="minorHAnsi"/>
          <w:lang w:val="pt-PT"/>
        </w:rPr>
      </w:r>
    </w:p>
    <w:p>
      <w:pPr>
        <w:pStyle w:val="Normal"/>
        <w:spacing w:lineRule="auto" w:line="240" w:before="0" w:after="0"/>
        <w:ind w:hanging="283" w:left="-284" w:right="-568"/>
        <w:jc w:val="both"/>
        <w:rPr>
          <w:rFonts w:cs="Calibri" w:cstheme="minorHAnsi"/>
        </w:rPr>
      </w:pPr>
      <w:r>
        <w:rPr>
          <w:rFonts w:cs="Calibri" w:cstheme="minorHAnsi"/>
        </w:rPr>
      </w:r>
    </w:p>
    <w:p>
      <w:pPr>
        <w:pStyle w:val="Normal"/>
        <w:spacing w:lineRule="auto" w:line="240"/>
        <w:ind w:hanging="0" w:left="-567" w:right="-568"/>
        <w:jc w:val="both"/>
        <w:rPr>
          <w:rFonts w:cs="Calibri" w:cstheme="minorAscii"/>
        </w:rPr>
      </w:pPr>
      <w:r>
        <w:rPr>
          <w:rFonts w:cs="Calibri" w:cstheme="minorAscii"/>
        </w:rPr>
        <w:t>D</w:t>
      </w:r>
      <w:r>
        <w:rPr>
          <w:rFonts w:cs="Calibri" w:cstheme="minorHAnsi"/>
        </w:rPr>
        <w:t xml:space="preserve">eclaro, adicionalmente, que: </w:t>
      </w:r>
    </w:p>
    <w:p>
      <w:pPr>
        <w:pStyle w:val="Normal"/>
        <w:spacing w:lineRule="auto" w:line="240" w:before="0" w:after="0"/>
        <w:ind w:hanging="0" w:left="-567" w:right="-568"/>
        <w:jc w:val="both"/>
        <w:rPr>
          <w:rFonts w:ascii="Calibri" w:hAnsi="Calibri"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8. Os registros fotográficos da pele ou lesões, caso ocorram, são autorizados e ficarão limitados aos profissionais de saúde do </w:t>
      </w:r>
      <w:r>
        <w:rPr>
          <w:rFonts w:cs="Calibri" w:cstheme="minorHAnsi"/>
        </w:rPr>
        <w:t xml:space="preserve">Grupo </w:t>
      </w:r>
      <w:r>
        <w:rPr>
          <w:rFonts w:cs="Calibri" w:cstheme="minorHAnsi"/>
        </w:rPr>
        <w:t>Orizonti.</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0"/>
        <w:ind w:hanging="0" w:left="-567" w:right="-227"/>
        <w:contextualSpacing/>
        <w:jc w:val="both"/>
        <w:rPr>
          <w:rFonts w:ascii="Calibri" w:hAnsi="Calibri"/>
        </w:rPr>
      </w:pPr>
      <w:r>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10.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 sem qualquer ônus financeiro, presente ou futuro, assegurando o pleno sigilo de minha identidade.</w:t>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Padro"/>
        <w:widowControl/>
        <w:suppressAutoHyphens w:val="true"/>
        <w:bidi w:val="0"/>
        <w:spacing w:lineRule="auto" w:line="240" w:before="0" w:after="0"/>
        <w:ind w:hanging="0" w:left="-567" w:right="-227"/>
        <w:jc w:val="both"/>
        <w:rPr>
          <w:rFonts w:ascii="Calibri" w:hAnsi="Calibri"/>
        </w:rPr>
      </w:pPr>
      <w:r>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ListParagraph"/>
        <w:widowControl/>
        <w:suppressAutoHyphens w:val="true"/>
        <w:bidi w:val="0"/>
        <w:spacing w:lineRule="auto" w:line="240" w:before="0" w:after="0"/>
        <w:ind w:hanging="0" w:left="-567" w:right="-283"/>
        <w:contextualSpacing/>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b/>
          <w:bCs/>
          <w:color w:val="auto"/>
          <w:sz w:val="22"/>
          <w:szCs w:val="22"/>
        </w:rPr>
        <w:tab/>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Application>LibreOffice/24.2.0.3$Windows_X86_64 LibreOffice_project/da48488a73ddd66ea24cf16bbc4f7b9c08e9bea1</Application>
  <AppVersion>15.0000</AppVersion>
  <Pages>5</Pages>
  <Words>1461</Words>
  <Characters>9680</Characters>
  <CharactersWithSpaces>11122</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2024-12-26T11:16:02Z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