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Procedimento: Artrodese Occipito-Cervical</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widowControl/>
        <w:tabs>
          <w:tab w:val="clear" w:pos="720"/>
          <w:tab w:val="left" w:pos="9760" w:leader="none"/>
        </w:tabs>
        <w:suppressAutoHyphens w:val="true"/>
        <w:bidi w:val="0"/>
        <w:spacing w:lineRule="auto" w:line="240" w:before="0" w:after="0"/>
        <w:ind w:hanging="0" w:left="-567" w:right="-51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sz w:val="24"/>
          <w:szCs w:val="24"/>
        </w:rPr>
        <w:t>Artrodese Occipito-Cervical</w:t>
      </w:r>
      <w:r>
        <w:rPr>
          <w:rFonts w:cs="Calibri" w:cstheme="minorHAnsi"/>
          <w:sz w:val="24"/>
          <w:szCs w:val="24"/>
        </w:rPr>
        <w:t xml:space="preserve">, </w:t>
      </w:r>
      <w:r>
        <w:rPr>
          <w:rFonts w:cs="Calibri" w:cstheme="minorHAnsi"/>
        </w:rPr>
        <w:t>(o “</w:t>
      </w:r>
      <w:r>
        <w:rPr>
          <w:rFonts w:cs="Calibri" w:cstheme="minorHAnsi"/>
          <w:u w:val="single"/>
        </w:rPr>
        <w:t>Procedimento</w:t>
      </w:r>
      <w:r>
        <w:rPr>
          <w:rFonts w:cs="Calibri" w:cstheme="minorHAnsi"/>
        </w:rPr>
        <w:t xml:space="preserve">”), a ser realizado no </w:t>
      </w:r>
      <w:r>
        <w:rPr>
          <w:rFonts w:cs="Calibri" w:cstheme="minorHAnsi"/>
        </w:rPr>
        <w:t>Hospital</w:t>
      </w:r>
      <w:r>
        <w:rPr>
          <w:rFonts w:cs="Calibri" w:cstheme="minorHAnsi"/>
        </w:rPr>
        <w:t xml:space="preserve"> Orizonti,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51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510"/>
        <w:jc w:val="both"/>
        <w:rPr>
          <w:rFonts w:cs="Calibri" w:cstheme="minorHAnsi"/>
        </w:rPr>
      </w:pPr>
      <w:r>
        <w:rPr>
          <w:rFonts w:cs="Calibri" w:cstheme="minorHAnsi"/>
          <w:b/>
          <w:bCs/>
        </w:rPr>
        <w:t>DIAGNÓSTICO</w:t>
      </w:r>
      <w:r>
        <w:rPr>
          <w:rFonts w:cs="Calibri" w:cstheme="minorHAnsi"/>
        </w:rPr>
        <w:t xml:space="preserve">: Transtornos ósseos envolvendo a coluna cervical e base do crânio com potencial compressivo sobre o tronco encefálico e a medula espinhal. </w:t>
      </w:r>
    </w:p>
    <w:p>
      <w:pPr>
        <w:pStyle w:val="Normal"/>
        <w:widowControl/>
        <w:suppressAutoHyphens w:val="true"/>
        <w:bidi w:val="0"/>
        <w:spacing w:lineRule="auto" w:line="240" w:before="0" w:after="200"/>
        <w:ind w:hanging="0" w:left="-567" w:right="-510"/>
        <w:jc w:val="both"/>
        <w:rPr/>
      </w:pPr>
      <w:r>
        <w:rPr>
          <w:rFonts w:cs="Calibri" w:cstheme="minorHAnsi"/>
          <w:b/>
          <w:bCs/>
        </w:rPr>
        <w:t>DEFINIÇÃO DO PROCEDIMENTO</w:t>
      </w:r>
      <w:r>
        <w:rPr>
          <w:rFonts w:cs="Calibri" w:cstheme="minorHAnsi"/>
        </w:rPr>
        <w:t>: Fusão cirúrgica do crânio às vertebras cervicais subjacentes e das mesmas entre si através do uso de dispositivo implantável.</w:t>
      </w:r>
    </w:p>
    <w:p>
      <w:pPr>
        <w:pStyle w:val="Normal"/>
        <w:widowControl/>
        <w:suppressAutoHyphens w:val="true"/>
        <w:bidi w:val="0"/>
        <w:spacing w:lineRule="auto" w:line="240" w:before="0" w:after="200"/>
        <w:ind w:hanging="0" w:left="-567" w:right="-510"/>
        <w:jc w:val="both"/>
        <w:rPr>
          <w:rFonts w:cs="Calibri" w:cstheme="minorHAnsi"/>
        </w:rPr>
      </w:pPr>
      <w:r>
        <w:rPr>
          <w:rFonts w:cs="Calibri" w:cstheme="minorHAnsi"/>
          <w:b/>
          <w:bCs/>
        </w:rPr>
        <w:t>RISCOS, COMPLICAÇÕES</w:t>
      </w:r>
      <w:r>
        <w:rPr>
          <w:rFonts w:cs="Calibri" w:cstheme="minorHAnsi"/>
        </w:rPr>
        <w:t>: Sangramento excessivo com necessidade de hemotransfusão, risco de formação de hematomas cervicais com potencial compressivo sobre as vias aéreas afetando a capacidade de falar e respirar, infecções envolvendo pele, subcutâneo, vértebras, dispositivos implantáveis, meninges e sistema nervoso com necessidade de tratamento cirúrgico sequencial ou tratamento medicamentoso prolongado. Redução ou perda da mobilidade cervical, especialmente da capacidade de rotação da cabeça. Redução ou perda da capacidade de sentir um segmento corpóreo (p. ex. membros superiores, membros inferiores, tronco), redução da perda ou capacidade de mover um segmento corpóreo (p. ex membros superiores, membros inferiores), dificuldade ou incapacidade de andar, rouquidão dificuldade de falar, dificuldade de engolir. Há risco de desenvolvimento ou agravamento de quadro de dor cervical ou dor irradiada de caráter crônico. Retenção urinária, bexiga neurogênica, incontinência urinária, constipação, incontinência fecal, impotência sexual. Há pequeno risco de óbito.</w:t>
      </w:r>
    </w:p>
    <w:p>
      <w:pPr>
        <w:pStyle w:val="Normal"/>
        <w:spacing w:lineRule="auto" w:line="240"/>
        <w:ind w:left="-567" w:right="-568"/>
        <w:jc w:val="both"/>
        <w:rPr>
          <w:b/>
          <w:bCs/>
        </w:rPr>
      </w:pPr>
      <w:r>
        <w:rPr>
          <w:rFonts w:cs="Calibri" w:cstheme="minorHAnsi"/>
          <w:b/>
          <w:bCs/>
        </w:rPr>
        <w:t>Estou ciente que além dos riscos e complicações descritas acima, em procedimentos médicos invasivos como o proposto, pode haver também risco de morte.</w:t>
      </w:r>
    </w:p>
    <w:p>
      <w:pPr>
        <w:pStyle w:val="Normal"/>
        <w:widowControl/>
        <w:suppressAutoHyphens w:val="true"/>
        <w:bidi w:val="0"/>
        <w:spacing w:lineRule="auto" w:line="240" w:before="0" w:after="200"/>
        <w:ind w:hanging="0" w:left="-567" w:right="-510"/>
        <w:jc w:val="both"/>
        <w:rPr>
          <w:rFonts w:cs="Calibri" w:cstheme="minorHAnsi"/>
        </w:rPr>
      </w:pPr>
      <w:r>
        <w:rPr>
          <w:rFonts w:cs="Calibri" w:cstheme="minorHAnsi"/>
          <w:b/>
          <w:bCs/>
        </w:rPr>
        <w:t>TRATAMENTOS ALTERNATIVOS</w:t>
      </w:r>
      <w:r>
        <w:rPr>
          <w:rFonts w:cs="Calibri" w:cstheme="minorHAnsi"/>
        </w:rPr>
        <w:t xml:space="preserve">: O tratamento cirúrgico foi indicado como melhor alternativa frente aos riscos trazidos pela doença e suas abordagens não havendo alternativas não cirúrgicas suficientemente efetivas. </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510"/>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suppressAutoHyphens w:val="true"/>
        <w:bidi w:val="0"/>
        <w:spacing w:lineRule="auto" w:line="240" w:before="0" w:after="0"/>
        <w:ind w:hanging="0" w:left="-567" w:right="-510"/>
        <w:contextualSpacing/>
        <w:jc w:val="both"/>
        <w:rPr>
          <w:rFonts w:cs="Calibri" w:cstheme="minorHAnsi"/>
        </w:rPr>
      </w:pPr>
      <w:r>
        <w:rPr>
          <w:rFonts w:cs="Calibri" w:cstheme="minorHAnsi"/>
        </w:rPr>
        <w:t xml:space="preserve">2. </w:t>
      </w:r>
      <w:r>
        <w:rPr>
          <w:rFonts w:eastAsia="Calibri" w:cs="Calibri" w:cstheme="minorHAnsi"/>
          <w:color w:val="auto"/>
          <w:kern w:val="0"/>
          <w:sz w:val="22"/>
          <w:szCs w:val="22"/>
          <w:lang w:val="pt-BR" w:eastAsia="ja-JP" w:bidi="ar-SA"/>
        </w:rPr>
        <w:t>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suppressAutoHyphens w:val="true"/>
        <w:bidi w:val="0"/>
        <w:spacing w:lineRule="auto" w:line="240" w:before="0" w:after="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suppressAutoHyphens w:val="true"/>
        <w:bidi w:val="0"/>
        <w:spacing w:lineRule="auto" w:line="240" w:before="0" w:after="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suppressAutoHyphens w:val="true"/>
        <w:bidi w:val="0"/>
        <w:spacing w:lineRule="auto" w:line="240" w:before="0" w:after="0"/>
        <w:ind w:hanging="0" w:left="-567" w:right="-510"/>
        <w:contextualSpacing/>
        <w:jc w:val="both"/>
        <w:rPr>
          <w:rFonts w:cs="Calibri" w:cstheme="minorHAnsi"/>
        </w:rPr>
      </w:pPr>
      <w:r>
        <w:rPr>
          <w:rFonts w:eastAsia="Calibri" w:cs="Calibri" w:cstheme="minorHAnsi"/>
          <w:color w:val="auto"/>
          <w:kern w:val="0"/>
          <w:sz w:val="22"/>
          <w:szCs w:val="22"/>
          <w:lang w:val="pt-BR" w:eastAsia="ja-JP" w:bidi="ar-SA"/>
        </w:rPr>
        <w:t>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w:t>
      </w:r>
      <w:r>
        <w:rPr>
          <w:rFonts w:cs="Calibri" w:cstheme="minorHAnsi"/>
        </w:rPr>
        <w:t xml:space="preserve">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51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spacing w:lineRule="auto" w:line="240" w:before="0" w:after="0"/>
        <w:ind w:left="-567" w:right="-568"/>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8. Os registros fotográficos da pele ou lesões, caso ocorram, são autorizados e ficarão limitados aos profissionais de saúde do </w:t>
      </w:r>
      <w:r>
        <w:rPr>
          <w:rFonts w:cs="Calibri" w:cstheme="minorHAnsi"/>
        </w:rPr>
        <w:t>Hospital</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76" w:before="0" w:after="0"/>
        <w:ind w:hanging="0" w:left="-567" w:right="-51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51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LibreOffice/24.2.0.3$Windows_X86_64 LibreOffice_project/da48488a73ddd66ea24cf16bbc4f7b9c08e9bea1</Application>
  <AppVersion>15.0000</AppVersion>
  <Pages>4</Pages>
  <Words>1296</Words>
  <Characters>8839</Characters>
  <CharactersWithSpaces>10092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2024-12-12T14:44:50Z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