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b/>
                <w:bCs/>
              </w:rPr>
            </w:pPr>
            <w:r>
              <w:rPr>
                <w:rFonts w:eastAsia="Calibri" w:cs="Calibri" w:cstheme="minorHAnsi"/>
                <w:b/>
                <w:bCs/>
                <w:kern w:val="0"/>
                <w:sz w:val="22"/>
                <w:szCs w:val="22"/>
                <w:lang w:val="pt-BR" w:eastAsia="en-US" w:bidi="ar-SA"/>
              </w:rPr>
              <w:t>Procedimento: Artrodese Cervical Anterior</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widowControl/>
        <w:suppressAutoHyphens w:val="true"/>
        <w:bidi w:val="0"/>
        <w:spacing w:lineRule="auto" w:line="240" w:before="0" w:after="0"/>
        <w:ind w:hanging="0" w:left="-794" w:right="-397"/>
        <w:jc w:val="both"/>
        <w:rPr/>
      </w:pPr>
      <w:r>
        <w:rPr>
          <w:rFonts w:cs="Calibri"/>
        </w:rPr>
        <w:t>Por este instrumento particular, declaro, para todos os fins de direito que, em especial para fins do disposto nos artigos 6º, III e 39, VI, ambos da Lei 8.078/90 (“</w:t>
      </w:r>
      <w:r>
        <w:rPr>
          <w:rFonts w:cs="Calibri"/>
          <w:u w:val="single"/>
        </w:rPr>
        <w:t>Código de Defesa do Consumidor</w:t>
      </w:r>
      <w:r>
        <w:rPr>
          <w:rFonts w:cs="Calibri"/>
        </w:rPr>
        <w:t>” ou “</w:t>
      </w:r>
      <w:r>
        <w:rPr>
          <w:rFonts w:cs="Calibri"/>
          <w:u w:val="single"/>
        </w:rPr>
        <w:t>CDC</w:t>
      </w:r>
      <w:r>
        <w:rPr>
          <w:rFonts w:cs="Calibri"/>
        </w:rPr>
        <w:t xml:space="preserve">”), </w:t>
      </w:r>
      <w:r>
        <w:rPr>
          <w:rFonts w:cs="Calibri"/>
          <w:b/>
          <w:bCs/>
        </w:rPr>
        <w:t>que, sem qualquer vício de vontade ou consentimento, dá total autorização</w:t>
      </w:r>
      <w:r>
        <w:rPr>
          <w:rFonts w:cs="Calibri"/>
        </w:rPr>
        <w:t xml:space="preserve"> ao médico para proceder às investigações necessárias ao diagnóstico do seu estado de saúde, bem como executar o Procedimento Cirúrgico designado </w:t>
      </w:r>
      <w:r>
        <w:rPr>
          <w:rFonts w:cs="Calibri"/>
          <w:b/>
          <w:bCs/>
        </w:rPr>
        <w:t>Artrodese Cervical Anterior (</w:t>
      </w:r>
      <w:r>
        <w:rPr>
          <w:rFonts w:cs="Calibri"/>
        </w:rPr>
        <w:t>o “</w:t>
      </w:r>
      <w:r>
        <w:rPr>
          <w:rFonts w:cs="Calibri"/>
          <w:u w:val="single"/>
        </w:rPr>
        <w:t>Procedimento</w:t>
      </w:r>
      <w:r>
        <w:rPr>
          <w:rFonts w:cs="Calibri"/>
        </w:rPr>
        <w:t xml:space="preserve">”), a ser realizado no </w:t>
      </w:r>
      <w:r>
        <w:rPr>
          <w:rFonts w:cs="Calibri"/>
        </w:rPr>
        <w:t>H</w:t>
      </w:r>
      <w:r>
        <w:rPr>
          <w:rFonts w:cs="Calibri"/>
        </w:rPr>
        <w:t>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794" w:right="-397"/>
        <w:jc w:val="both"/>
        <w:rPr>
          <w:rFonts w:cs="Calibri"/>
        </w:rPr>
      </w:pPr>
      <w:r>
        <w:rPr>
          <w:rFonts w:cs="Calibri"/>
        </w:rPr>
      </w:r>
    </w:p>
    <w:p>
      <w:pPr>
        <w:pStyle w:val="Normal"/>
        <w:widowControl/>
        <w:suppressAutoHyphens w:val="true"/>
        <w:bidi w:val="0"/>
        <w:spacing w:lineRule="auto" w:line="240" w:before="0" w:after="0"/>
        <w:ind w:hanging="0" w:left="-794" w:right="-397"/>
        <w:jc w:val="both"/>
        <w:rPr>
          <w:rFonts w:cs="Calibri"/>
        </w:rPr>
      </w:pPr>
      <w:r>
        <w:rPr>
          <w:rFonts w:cs="Calibri"/>
        </w:rPr>
      </w:r>
    </w:p>
    <w:p>
      <w:pPr>
        <w:pStyle w:val="Normal"/>
        <w:widowControl/>
        <w:suppressAutoHyphens w:val="true"/>
        <w:bidi w:val="0"/>
        <w:spacing w:lineRule="auto" w:line="240" w:before="0" w:after="0"/>
        <w:ind w:hanging="0" w:left="-794" w:right="-397"/>
        <w:jc w:val="both"/>
        <w:rPr/>
      </w:pPr>
      <w:r>
        <w:rPr>
          <w:rFonts w:cs="Calibri"/>
        </w:rPr>
        <w:t>Assim sendo, declaro que o Médico, atendendo ao que determinam os artigos 22 e 34 da Resolução CFM no. 1.931/09 (“</w:t>
      </w:r>
      <w:r>
        <w:rPr>
          <w:rFonts w:cs="Calibri"/>
          <w:u w:val="single"/>
        </w:rPr>
        <w:t>Código de Ética Médica</w:t>
      </w:r>
      <w:r>
        <w:rPr>
          <w:rFonts w:cs="Calibr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794" w:right="-397"/>
        <w:jc w:val="both"/>
        <w:rPr/>
      </w:pPr>
      <w:r>
        <w:rPr>
          <w:rFonts w:cs="Calibri"/>
          <w:b/>
          <w:bCs/>
        </w:rPr>
        <w:t>PROTOCOLO MEDICAMENTOSO:</w:t>
      </w:r>
      <w:r>
        <w:rPr>
          <w:rFonts w:cs="Calibri"/>
        </w:rPr>
        <w:t> Compreendi que o tratamento sugerido envolverá a administração do seguinte protocolo medicamentoso: ________________________________________________que tem por finalidade destruir, controlar ou inibir o crescimento das células doentes.</w:t>
      </w:r>
    </w:p>
    <w:p>
      <w:pPr>
        <w:pStyle w:val="Normal"/>
        <w:widowControl/>
        <w:suppressAutoHyphens w:val="true"/>
        <w:bidi w:val="0"/>
        <w:spacing w:lineRule="auto" w:line="240" w:before="0" w:after="0"/>
        <w:ind w:hanging="0" w:left="-794" w:right="-397"/>
        <w:jc w:val="both"/>
        <w:rPr>
          <w:rFonts w:cs="Calibri"/>
        </w:rPr>
      </w:pPr>
      <w:r>
        <w:rPr>
          <w:rFonts w:cs="Calibri"/>
        </w:rPr>
      </w:r>
    </w:p>
    <w:p>
      <w:pPr>
        <w:pStyle w:val="Normal"/>
        <w:widowControl/>
        <w:suppressAutoHyphens w:val="true"/>
        <w:bidi w:val="0"/>
        <w:spacing w:lineRule="auto" w:line="240" w:before="0" w:after="0"/>
        <w:ind w:hanging="0" w:left="-794" w:right="-397"/>
        <w:jc w:val="both"/>
        <w:rPr>
          <w:rFonts w:cs="Calibri"/>
        </w:rPr>
      </w:pPr>
      <w:r>
        <w:rPr>
          <w:rFonts w:cs="Calibri"/>
        </w:rPr>
      </w:r>
    </w:p>
    <w:p>
      <w:pPr>
        <w:pStyle w:val="Normal"/>
        <w:widowControl/>
        <w:suppressAutoHyphens w:val="true"/>
        <w:bidi w:val="0"/>
        <w:spacing w:lineRule="auto" w:line="240"/>
        <w:ind w:hanging="0" w:left="-794" w:right="-397"/>
        <w:jc w:val="both"/>
        <w:rPr/>
      </w:pPr>
      <w:r>
        <w:rPr>
          <w:rFonts w:cs="Calibri"/>
          <w:b/>
          <w:bCs/>
        </w:rPr>
        <w:t>DIAGNÓSTICO</w:t>
      </w:r>
      <w:r>
        <w:rPr>
          <w:rFonts w:cs="Calibri"/>
        </w:rPr>
        <w:t>: Transtornos das Vértebras e Discos Intervertebrais Cervicais</w:t>
      </w:r>
    </w:p>
    <w:p>
      <w:pPr>
        <w:pStyle w:val="Normal"/>
        <w:widowControl/>
        <w:suppressAutoHyphens w:val="true"/>
        <w:bidi w:val="0"/>
        <w:spacing w:lineRule="auto" w:line="240"/>
        <w:ind w:hanging="0" w:left="-794" w:right="-397"/>
        <w:jc w:val="both"/>
        <w:rPr/>
      </w:pPr>
      <w:r>
        <w:rPr>
          <w:rFonts w:cs="Calibri"/>
          <w:b/>
          <w:bCs/>
        </w:rPr>
        <w:t>DEFINIÇÃO DO PROCEDIMENTO</w:t>
      </w:r>
      <w:r>
        <w:rPr>
          <w:rFonts w:cs="Calibri"/>
        </w:rPr>
        <w:t>: Fusão de duas ou mais vértebras cervicais contiguas com uso de dispositivo implantável para tratamento de doenças compressivas da medula ou nervos cervicais ou tratamento de instabilidade dolorosa da coluna cervical.</w:t>
      </w:r>
    </w:p>
    <w:p>
      <w:pPr>
        <w:pStyle w:val="Normal"/>
        <w:widowControl/>
        <w:suppressAutoHyphens w:val="true"/>
        <w:bidi w:val="0"/>
        <w:spacing w:lineRule="auto" w:line="240"/>
        <w:ind w:hanging="0" w:left="-794" w:right="-397"/>
        <w:jc w:val="both"/>
        <w:rPr/>
      </w:pPr>
      <w:r>
        <w:rPr>
          <w:rFonts w:cs="Calibri"/>
          <w:b/>
          <w:bCs/>
        </w:rPr>
        <w:t>RISCOS, COMPLICAÇÕES</w:t>
      </w:r>
      <w:r>
        <w:rPr>
          <w:rFonts w:cs="Calibri"/>
        </w:rPr>
        <w:t xml:space="preserve">: Sangramento excessivo com necessidade de hemotransfusão, risco de formação de hematomas cervicais com potencial compressivo sobre as vias aéreas afetando a capacidade de falar e respirar, infecções envolvendo pele, subcutâneo, vértebras, meninges e sistema nervoso com necessidade de tratamento cirúrgico sequencial ou tratamento medicamentoso prolongado.  Redução ou perda da capacidade de sentir um segmento corpóreo (p. ex. membros superiores, membros inferiores, tronco), redução da perda ou capacidade de mover um segmento corpóreo (p. ex membros superiores, membros inferiores), dificuldade ou incapacidade de andar, rouquidão dificuldade de falar, dificuldade de engolir. Há risco de desenvolvimento ou agravamento de quadro de dor cervical ou dor irradiada de caráter crônico. Retenção urinária, bexiga neurogênica, incontinência urinária, constipação, incontinência fecal, impotência sexual. </w:t>
      </w:r>
    </w:p>
    <w:p>
      <w:pPr>
        <w:pStyle w:val="Normal"/>
        <w:widowControl/>
        <w:suppressAutoHyphens w:val="true"/>
        <w:bidi w:val="0"/>
        <w:spacing w:lineRule="auto" w:line="240"/>
        <w:ind w:hanging="0" w:left="-794" w:right="-397"/>
        <w:jc w:val="both"/>
        <w:rPr/>
      </w:pPr>
      <w:r>
        <w:rPr>
          <w:rFonts w:cs="Calibri"/>
          <w:b/>
          <w:bCs/>
        </w:rPr>
        <w:t>Estou ciente que além dos riscos e complicações descritas acima, em procedimentos médicos invasivos como o proposto, pode haver também risco de morte.</w:t>
      </w:r>
    </w:p>
    <w:p>
      <w:pPr>
        <w:pStyle w:val="Normal"/>
        <w:widowControl/>
        <w:suppressAutoHyphens w:val="true"/>
        <w:bidi w:val="0"/>
        <w:spacing w:lineRule="auto" w:line="240" w:before="0" w:after="0"/>
        <w:ind w:hanging="0" w:left="-794" w:right="-397"/>
        <w:jc w:val="both"/>
        <w:rPr/>
      </w:pPr>
      <w:r>
        <w:rPr>
          <w:rFonts w:cs="Calibri"/>
          <w:b/>
          <w:bCs/>
        </w:rPr>
        <w:t>TRATAMENTOS ALTERNATIVOS</w:t>
      </w:r>
      <w:r>
        <w:rPr>
          <w:rFonts w:cs="Calibri"/>
        </w:rPr>
        <w:t>: O tratamento cirúrgico foi indicado como melhor alternativa frente aos riscos trazidos pela doença e suas abordagens não havendo alternativas que o substituam de maneira suficiente.</w:t>
      </w:r>
    </w:p>
    <w:p>
      <w:pPr>
        <w:pStyle w:val="Normal"/>
        <w:widowControl/>
        <w:suppressAutoHyphens w:val="true"/>
        <w:bidi w:val="0"/>
        <w:spacing w:lineRule="auto" w:line="240" w:before="0" w:after="0"/>
        <w:ind w:hanging="0" w:left="-794" w:right="-397"/>
        <w:jc w:val="both"/>
        <w:rPr>
          <w:rFonts w:cs="Calibri"/>
        </w:rPr>
      </w:pPr>
      <w:r>
        <w:rPr>
          <w:rFonts w:cs="Calibri"/>
        </w:rPr>
      </w:r>
    </w:p>
    <w:p>
      <w:pPr>
        <w:pStyle w:val="Normal"/>
        <w:widowControl/>
        <w:suppressAutoHyphens w:val="true"/>
        <w:bidi w:val="0"/>
        <w:spacing w:lineRule="auto" w:line="240" w:before="0" w:after="0"/>
        <w:ind w:hanging="0" w:left="-794" w:right="-397"/>
        <w:jc w:val="both"/>
        <w:rPr/>
      </w:pPr>
      <w:r>
        <w:rPr>
          <w:rFonts w:cs="Calibri"/>
        </w:rPr>
        <w:t xml:space="preserve">Declaro, adicionalmente, que: </w:t>
      </w:r>
    </w:p>
    <w:p>
      <w:pPr>
        <w:pStyle w:val="Normal"/>
        <w:widowControl/>
        <w:suppressAutoHyphens w:val="true"/>
        <w:bidi w:val="0"/>
        <w:spacing w:lineRule="auto" w:line="240" w:before="0" w:after="0"/>
        <w:ind w:hanging="0" w:left="-794" w:right="-397"/>
        <w:jc w:val="both"/>
        <w:rPr>
          <w:rFonts w:eastAsia="Arial Unicode MS" w:cs="Calibri"/>
          <w:lang w:val="pt-PT" w:eastAsia="pt-BR"/>
        </w:rPr>
      </w:pPr>
      <w:r>
        <w:rPr>
          <w:rFonts w:eastAsia="Arial Unicode MS" w:cs="Calibri"/>
          <w:lang w:val="pt-PT" w:eastAsia="pt-BR"/>
        </w:rPr>
      </w:r>
    </w:p>
    <w:p>
      <w:pPr>
        <w:pStyle w:val="ListParagraph"/>
        <w:widowControl/>
        <w:suppressAutoHyphens w:val="true"/>
        <w:bidi w:val="0"/>
        <w:spacing w:lineRule="auto" w:line="240" w:before="0" w:after="0"/>
        <w:ind w:hanging="0" w:left="-794" w:right="-397"/>
        <w:contextualSpacing/>
        <w:jc w:val="both"/>
        <w:rPr/>
      </w:pPr>
      <w:r>
        <w:rPr>
          <w:rFonts w:cs="Calibr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0"/>
        <w:ind w:hanging="0" w:left="-794" w:right="-397"/>
        <w:contextualSpacing/>
        <w:jc w:val="both"/>
        <w:rPr>
          <w:rFonts w:cs="Calibri"/>
        </w:rPr>
      </w:pPr>
      <w:r>
        <w:rPr>
          <w:rFonts w:cs="Calibri"/>
        </w:rPr>
      </w:r>
    </w:p>
    <w:p>
      <w:pPr>
        <w:pStyle w:val="ListParagraph"/>
        <w:widowControl/>
        <w:suppressAutoHyphens w:val="true"/>
        <w:bidi w:val="0"/>
        <w:spacing w:lineRule="auto" w:line="240" w:before="0" w:after="0"/>
        <w:ind w:hanging="0" w:left="-794" w:right="-397"/>
        <w:contextualSpacing/>
        <w:jc w:val="both"/>
        <w:rPr/>
      </w:pPr>
      <w:r>
        <w:rPr>
          <w:rFonts w:cs="Calibr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794" w:right="-397"/>
        <w:contextualSpacing/>
        <w:jc w:val="both"/>
        <w:rPr>
          <w:rFonts w:cs="Calibri"/>
        </w:rPr>
      </w:pPr>
      <w:r>
        <w:rPr>
          <w:rFonts w:cs="Calibri"/>
        </w:rPr>
      </w:r>
    </w:p>
    <w:p>
      <w:pPr>
        <w:pStyle w:val="ListParagraph"/>
        <w:widowControl/>
        <w:suppressAutoHyphens w:val="true"/>
        <w:bidi w:val="0"/>
        <w:spacing w:lineRule="auto" w:line="240" w:before="0" w:after="0"/>
        <w:ind w:hanging="0" w:left="-794" w:right="-397"/>
        <w:contextualSpacing/>
        <w:jc w:val="both"/>
        <w:rPr/>
      </w:pPr>
      <w:r>
        <w:rPr>
          <w:rFonts w:cs="Calibr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794" w:right="-397"/>
        <w:contextualSpacing/>
        <w:jc w:val="both"/>
        <w:rPr>
          <w:rFonts w:cs="Calibri"/>
        </w:rPr>
      </w:pPr>
      <w:r>
        <w:rPr>
          <w:rFonts w:cs="Calibri"/>
        </w:rPr>
      </w:r>
    </w:p>
    <w:p>
      <w:pPr>
        <w:pStyle w:val="ListParagraph"/>
        <w:widowControl/>
        <w:suppressAutoHyphens w:val="true"/>
        <w:bidi w:val="0"/>
        <w:spacing w:lineRule="auto" w:line="240" w:before="0" w:after="0"/>
        <w:ind w:hanging="0" w:left="-794" w:right="-397"/>
        <w:contextualSpacing/>
        <w:jc w:val="both"/>
        <w:rPr/>
      </w:pPr>
      <w:r>
        <w:rPr>
          <w:rFonts w:cs="Calibr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794" w:right="-397"/>
        <w:contextualSpacing/>
        <w:jc w:val="both"/>
        <w:rPr>
          <w:rFonts w:cs="Calibri"/>
        </w:rPr>
      </w:pPr>
      <w:r>
        <w:rPr>
          <w:rFonts w:cs="Calibri"/>
        </w:rPr>
      </w:r>
    </w:p>
    <w:p>
      <w:pPr>
        <w:pStyle w:val="ListParagraph"/>
        <w:widowControl/>
        <w:suppressAutoHyphens w:val="true"/>
        <w:bidi w:val="0"/>
        <w:spacing w:lineRule="auto" w:line="240" w:before="0" w:after="0"/>
        <w:ind w:hanging="0" w:left="-850" w:right="-510"/>
        <w:contextualSpacing/>
        <w:jc w:val="both"/>
        <w:rPr>
          <w:rFonts w:cs="Calibri"/>
        </w:rPr>
      </w:pPr>
      <w:r>
        <w:rPr>
          <w:rFonts w:cs="Calibr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b/>
          <w:bCs/>
        </w:rPr>
        <w:t>PODERÁ SER NECESSÁRIA A INFUSÃO DE SANGUE E SEUS COMPONENTES (TRANSFUSÃO DE SANGUE) NO PACIENTE</w:t>
      </w:r>
      <w:r>
        <w:rPr>
          <w:rFonts w:cs="Calibr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t>8. Os registros fotográficos da pele ou lesões, caso ocorram, são autorizados e ficarão limitados aos profissionais de saúde do Hospital Orizonti.</w:t>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suppressAutoHyphens w:val="true"/>
        <w:bidi w:val="0"/>
        <w:spacing w:lineRule="auto" w:line="240" w:before="0" w:after="0"/>
        <w:ind w:hanging="0" w:left="-850" w:right="-510"/>
        <w:contextualSpacing/>
        <w:jc w:val="both"/>
        <w:rPr>
          <w:rFonts w:ascii="Calibri" w:hAnsi="Calibri" w:eastAsia="Calibri" w:cs="Calibri"/>
          <w:color w:val="auto"/>
          <w:kern w:val="0"/>
          <w:sz w:val="22"/>
          <w:szCs w:val="22"/>
          <w:lang w:val="pt-BR" w:eastAsia="ja-JP" w:bidi="ar-SA"/>
        </w:rPr>
      </w:pPr>
      <w:r>
        <w:rPr>
          <w:rFonts w:eastAsia="Calibri" w:cs="Calibri"/>
          <w:color w:val="auto"/>
          <w:kern w:val="0"/>
          <w:sz w:val="22"/>
          <w:szCs w:val="22"/>
          <w:lang w:val="pt-BR" w:eastAsia="ja-JP" w:bidi="ar-SA"/>
        </w:rPr>
      </w:r>
    </w:p>
    <w:p>
      <w:pPr>
        <w:pStyle w:val="Padro"/>
        <w:spacing w:before="0" w:after="0"/>
        <w:ind w:left="-567" w:right="-568"/>
        <w:jc w:val="both"/>
        <w:rPr>
          <w:rFonts w:ascii="Calibri" w:hAnsi="Calibri" w:cs="Calibri"/>
          <w:color w:val="auto"/>
          <w:sz w:val="22"/>
          <w:szCs w:val="22"/>
        </w:rPr>
      </w:pPr>
      <w:r>
        <w:rPr>
          <w:rFonts w:cs="Calibri" w:ascii="Calibri" w:hAnsi="Calibri"/>
          <w:color w:val="auto"/>
          <w:sz w:val="22"/>
          <w:szCs w:val="22"/>
        </w:rPr>
        <w:t xml:space="preserve">Pleno deste entendimento, </w:t>
      </w:r>
      <w:r>
        <w:rPr>
          <w:rFonts w:cs="Calibri" w:ascii="Calibri" w:hAnsi="Calibri"/>
          <w:b/>
          <w:bCs/>
          <w:color w:val="auto"/>
          <w:sz w:val="22"/>
          <w:szCs w:val="22"/>
        </w:rPr>
        <w:t>autorizo a realização do Procedimento proposto e dos demais procedimentos aqui estabelecidos</w:t>
      </w:r>
      <w:r>
        <w:rPr>
          <w:rFonts w:cs="Calibri" w:ascii="Calibri" w:hAnsi="Calibri"/>
          <w:color w:val="auto"/>
          <w:sz w:val="22"/>
          <w:szCs w:val="22"/>
        </w:rPr>
        <w:t>.</w:t>
      </w:r>
    </w:p>
    <w:p>
      <w:pPr>
        <w:pStyle w:val="Padro"/>
        <w:spacing w:before="0" w:after="0"/>
        <w:ind w:left="-567" w:right="-568"/>
        <w:jc w:val="both"/>
        <w:rPr>
          <w:rFonts w:ascii="Calibri" w:hAnsi="Calibri" w:cs="Calibri"/>
          <w:color w:val="auto"/>
          <w:sz w:val="22"/>
          <w:szCs w:val="22"/>
        </w:rPr>
      </w:pPr>
      <w:r>
        <w:rPr>
          <w:rFonts w:cs="Calibri" w:ascii="Calibri" w:hAnsi="Calibri"/>
          <w:color w:val="auto"/>
          <w:sz w:val="22"/>
          <w:szCs w:val="22"/>
        </w:rPr>
      </w:r>
    </w:p>
    <w:p>
      <w:pPr>
        <w:pStyle w:val="NormalWeb"/>
        <w:spacing w:before="0" w:after="0"/>
        <w:ind w:left="-567" w:right="-568"/>
        <w:jc w:val="both"/>
        <w:rPr>
          <w:rFonts w:ascii="Calibri" w:hAnsi="Calibri" w:cs="Calibri"/>
          <w:sz w:val="22"/>
          <w:szCs w:val="22"/>
        </w:rPr>
      </w:pPr>
      <w:r>
        <w:rPr>
          <w:rFonts w:cs="Calibri" w:ascii="Calibri" w:hAnsi="Calibri"/>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t>Belo Horizonte, MG, [</w:t>
      </w:r>
      <w:r>
        <w:rPr>
          <w:rFonts w:cs="Calibri" w:ascii="Calibri" w:hAnsi="Calibri"/>
          <w:color w:val="000000"/>
          <w:sz w:val="22"/>
          <w:szCs w:val="22"/>
          <w:shd w:fill="C0C0C0" w:val="clear"/>
        </w:rPr>
        <w:t>___/____/____][__:__</w:t>
      </w:r>
      <w:r>
        <w:rPr>
          <w:rFonts w:cs="Calibri" w:ascii="Calibri" w:hAnsi="Calibri"/>
          <w:color w:val="auto"/>
          <w:sz w:val="22"/>
          <w:szCs w:val="22"/>
        </w:rPr>
        <w:t>]</w:t>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tbl>
      <w:tblPr>
        <w:tblW w:w="9752" w:type="dxa"/>
        <w:jc w:val="left"/>
        <w:tblInd w:w="-685" w:type="dxa"/>
        <w:tblLayout w:type="fixed"/>
        <w:tblCellMar>
          <w:top w:w="0" w:type="dxa"/>
          <w:left w:w="108" w:type="dxa"/>
          <w:bottom w:w="0" w:type="dxa"/>
          <w:right w:w="108" w:type="dxa"/>
        </w:tblCellMar>
      </w:tblPr>
      <w:tblGrid>
        <w:gridCol w:w="9752"/>
      </w:tblGrid>
      <w:tr>
        <w:trPr>
          <w:trHeight w:val="1150" w:hRule="atLeast"/>
        </w:trPr>
        <w:tc>
          <w:tcPr>
            <w:tcW w:w="975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b/>
                <w:bCs/>
              </w:rPr>
            </w:pPr>
            <w:r>
              <w:rPr>
                <w:rFonts w:cs="Calibri"/>
                <w:b/>
                <w:bCs/>
              </w:rPr>
            </w:r>
          </w:p>
          <w:p>
            <w:pPr>
              <w:pStyle w:val="Normal"/>
              <w:widowControl/>
              <w:suppressAutoHyphens w:val="true"/>
              <w:spacing w:lineRule="auto" w:line="360" w:before="0" w:after="0"/>
              <w:ind w:left="39"/>
              <w:jc w:val="left"/>
              <w:rPr>
                <w:rFonts w:cs="Calibri"/>
                <w:b/>
                <w:bCs/>
              </w:rPr>
            </w:pPr>
            <w:r>
              <w:rPr>
                <w:rFonts w:eastAsia="Calibri" w:cs="Calibr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b/>
                <w:bCs/>
              </w:rPr>
            </w:pPr>
            <w:r>
              <w:rPr>
                <w:rFonts w:eastAsia="Calibri" w:cs="Calibr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b/>
                <w:bCs/>
              </w:rPr>
            </w:pPr>
            <w:r>
              <w:rPr>
                <w:rFonts w:cs="Calibri"/>
                <w:b/>
                <w:bCs/>
              </w:rPr>
            </w:r>
          </w:p>
        </w:tc>
      </w:tr>
      <w:tr>
        <w:trPr>
          <w:trHeight w:val="1124" w:hRule="atLeast"/>
        </w:trPr>
        <w:tc>
          <w:tcPr>
            <w:tcW w:w="975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rPr>
            </w:pPr>
            <w:r>
              <w:rPr>
                <w:rFonts w:cs="Calibri"/>
              </w:rPr>
            </w:r>
          </w:p>
          <w:p>
            <w:pPr>
              <w:pStyle w:val="Normal"/>
              <w:widowControl/>
              <w:suppressAutoHyphens w:val="true"/>
              <w:spacing w:lineRule="auto" w:line="240" w:before="0" w:after="0"/>
              <w:jc w:val="left"/>
              <w:rPr>
                <w:rFonts w:cs="Calibri"/>
              </w:rPr>
            </w:pPr>
            <w:r>
              <w:rPr>
                <w:rFonts w:eastAsia="Calibri" w:cs="Calibr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b/>
                <w:bCs/>
              </w:rPr>
            </w:pPr>
            <w:r>
              <w:rPr>
                <w:rFonts w:cs="Calibri"/>
                <w:b/>
                <w:bCs/>
              </w:rPr>
            </w:r>
          </w:p>
          <w:p>
            <w:pPr>
              <w:pStyle w:val="Normal"/>
              <w:widowControl/>
              <w:suppressAutoHyphens w:val="true"/>
              <w:spacing w:lineRule="auto" w:line="360" w:before="0" w:after="0"/>
              <w:ind w:left="39"/>
              <w:jc w:val="left"/>
              <w:rPr>
                <w:rFonts w:cs="Calibri"/>
                <w:b/>
                <w:bCs/>
              </w:rPr>
            </w:pPr>
            <w:r>
              <w:rPr>
                <w:rFonts w:eastAsia="Calibri" w:cs="Calibr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b/>
                <w:bCs/>
              </w:rPr>
            </w:pPr>
            <w:r>
              <w:rPr>
                <w:rFonts w:eastAsia="Calibri" w:cs="Calibr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b/>
                <w:bCs/>
              </w:rPr>
            </w:pPr>
            <w:r>
              <w:rPr>
                <w:rFonts w:cs="Calibri"/>
                <w:b/>
                <w:bCs/>
              </w:rPr>
            </w:r>
          </w:p>
        </w:tc>
      </w:tr>
    </w:tbl>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both"/>
        <w:rPr>
          <w:rFonts w:ascii="Calibri" w:hAnsi="Calibri" w:cs="Calibri"/>
          <w:color w:val="auto"/>
          <w:sz w:val="22"/>
          <w:szCs w:val="22"/>
        </w:rPr>
      </w:pPr>
      <w:r>
        <w:rPr>
          <w:rFonts w:cs="Calibri" w:ascii="Calibri" w:hAnsi="Calibr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r>
    </w:p>
    <w:p>
      <w:pPr>
        <w:pStyle w:val="Padro"/>
        <w:spacing w:before="0" w:after="0"/>
        <w:ind w:left="-567" w:right="-568"/>
        <w:jc w:val="center"/>
        <w:rPr>
          <w:rFonts w:ascii="Calibri" w:hAnsi="Calibri" w:cs="Calibri"/>
          <w:color w:val="auto"/>
          <w:sz w:val="22"/>
          <w:szCs w:val="22"/>
        </w:rPr>
      </w:pPr>
      <w:r>
        <w:rPr>
          <w:rFonts w:cs="Calibri" w:ascii="Calibri" w:hAnsi="Calibri"/>
          <w:color w:val="auto"/>
          <w:sz w:val="22"/>
          <w:szCs w:val="22"/>
        </w:rPr>
        <w:t>______________________________________</w:t>
      </w:r>
    </w:p>
    <w:p>
      <w:pPr>
        <w:pStyle w:val="Padro"/>
        <w:spacing w:before="0" w:after="0"/>
        <w:ind w:left="-567" w:right="-568"/>
        <w:jc w:val="center"/>
        <w:rPr>
          <w:rFonts w:ascii="Calibri" w:hAnsi="Calibri" w:cs="Calibri"/>
          <w:b/>
          <w:bCs/>
          <w:color w:val="auto"/>
          <w:sz w:val="22"/>
          <w:szCs w:val="22"/>
        </w:rPr>
      </w:pPr>
      <w:r>
        <w:rPr>
          <w:rFonts w:cs="Calibri" w:ascii="Calibri" w:hAnsi="Calibri"/>
          <w:b/>
          <w:bCs/>
          <w:color w:val="auto"/>
          <w:sz w:val="22"/>
          <w:szCs w:val="22"/>
        </w:rPr>
        <w:t>Assinatura do Médico Assistente e carimbo</w:t>
      </w:r>
    </w:p>
    <w:p>
      <w:pPr>
        <w:pStyle w:val="Normal"/>
        <w:tabs>
          <w:tab w:val="clear" w:pos="720"/>
          <w:tab w:val="left" w:pos="3160" w:leader="none"/>
        </w:tabs>
        <w:spacing w:before="0" w:after="200"/>
        <w:rPr>
          <w:rFonts w:ascii="Calibri" w:hAnsi="Calibri" w:cs="Calibri"/>
          <w:b/>
          <w:bCs/>
          <w:color w:val="auto"/>
          <w:sz w:val="22"/>
          <w:szCs w:val="22"/>
        </w:rPr>
      </w:pPr>
      <w:r>
        <w:rPr>
          <w:rFonts w:cs="Calibri" w:cstheme="minorHAns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LibreOffice/24.2.0.3$Windows_X86_64 LibreOffice_project/da48488a73ddd66ea24cf16bbc4f7b9c08e9bea1</Application>
  <AppVersion>15.0000</AppVersion>
  <Pages>4</Pages>
  <Words>1305</Words>
  <Characters>8960</Characters>
  <CharactersWithSpaces>10220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2024-12-12T15:02:19Z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