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Ablação Alcoólica Septal</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Ablação Alcoólica Septal </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Cardiomiopatia Hipertrófica Assimétrica com obstrução da via de saída do Ventrículo Esquerdo.</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Calibri" w:cstheme="minorHAnsi"/>
          <w:color w:val="000000"/>
        </w:rPr>
        <w:t>Esse procedimento visa reduzir o importante espessamento muscular do septo interventricular (que separa o ventrículo esquerdo do direito) por meio da alcoolização da artéria septal a partir de acesso por uma punção de artéria na região inguinal. A seguir, um cateter é posicionado de forma seletiva na coronária esquerda. Através desse cateter, um minúsculo fio-guia é posicionado no primeiro ramo septal da coronária descendente anterior. Esse fio-guia possibilitará o correto posicionamento de um cateter dedicado a essa finalidade, que possui um pequeno balão em sua extremidade. Esse balão será insuflado, ocluindo o ramo septal em sua porção proximal, e, então, um mililitro a dois mililitros de álcool absoluto ou de outras substâncias líquidas ou microdispositivos mecânicos serão administrados através do cateter balão para a extremidade distal do ramo septal. O álcool ou outros agentes específicos irão provocar um dano direto no músculo espessado do septo interventricular, o qual, durante o curso de semanas ou mesmo meses, reduzirá de volume. A partir de então a válvula mitral funcionará melhor e a pressão dentro do ventrículo esquerdo será reduzida, o que resultará na melhora dos sintomas de insuficiência cardíaca.</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Calibri" w:cstheme="minorHAnsi"/>
          <w:color w:val="000000"/>
        </w:rPr>
        <w:t>Tomei ciência também de que poderá levar semanas ou meses para o septo interventricular ficar fino e o benefício completo deste procedimento ser observado por mim. Um eletrodo temporário de marca-passo poderá ser colocado no ventrículo direito através de acesso venoso na região inguinal. O ecocardiograma poderá ser realizado durante o procedimento de acordo com indicação da equipe médica. Declaro que estou ciente de que o fim almejado com a execução do procedimento acima referido pode não ser alcançado, ainda que o médico e sua equipe adotem a melhor técnica e se utilizem de todos os meios e recursos científicos disponíveis. 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cerca de 2% a 8%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 xml:space="preserve">:A Cardiomiopatia Hipertrófica pode ser tratada clinicamente (com medicamentos somente), ou com a ablação do Ramo septal, ou tratado com retirada cirúrgica de um pedaço da porção septal do ventrículo esquerdo. Cada procedimento tem uma indicação específica. Em caso de dúvida, pergunte ao seu médico Cardiologista que te acompanha, e a equipe médica do </w:t>
      </w:r>
      <w:r>
        <w:rPr>
          <w:rFonts w:cs="Calibri" w:cstheme="minorHAnsi"/>
        </w:rPr>
        <w:t>Grupo</w:t>
      </w:r>
      <w:r>
        <w:rPr>
          <w:rFonts w:cs="Calibri" w:cstheme="minorHAnsi"/>
        </w:rPr>
        <w:t xml:space="preserve"> Orizonti.</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LibreOffice/24.2.0.3$Windows_X86_64 LibreOffice_project/da48488a73ddd66ea24cf16bbc4f7b9c08e9bea1</Application>
  <AppVersion>15.0000</AppVersion>
  <Pages>5</Pages>
  <Words>1654</Words>
  <Characters>10814</Characters>
  <CharactersWithSpaces>12421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2024-12-19T17:34:33Z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